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keepNext w:val="false"/>
        <w:spacing w:after="1080" w:before="0" w:line="240"/>
        <w:jc w:val="left"/>
      </w:pPr>
      <w:r>
        <w:rPr>
          <w:rFonts w:ascii="Arial" w:cs="Arial" w:eastAsia="Arial" w:hAnsi="Arial"/>
          <w:b w:val="false"/>
          <w:bCs w:val="false"/>
          <w:i w:val="false"/>
          <w:iCs w:val="false"/>
          <w:color w:val="0A0A0A"/>
          <w:sz w:val="20"/>
          <w:szCs w:val="20"/>
        </w:rPr>
        <w:t xml:space="preserve"/>
      </w:r>
    </w:p>
    <w:p>
      <w:pPr>
        <w:keepNext w:val="false"/>
        <w:pBdr>
          <w:bottom w:val="single" w:color="0A0A0A" w:sz="24" w:space="1"/>
        </w:pBdr>
        <w:spacing w:after="36" w:before="0" w:line="276"/>
        <w:jc w:val="left"/>
      </w:pPr>
      <w:r>
        <w:rPr>
          <w:rFonts w:ascii="Arial" w:cs="Arial" w:eastAsia="Arial" w:hAnsi="Arial"/>
          <w:b w:val="false"/>
          <w:bCs w:val="false"/>
          <w:i w:val="false"/>
          <w:iCs w:val="false"/>
          <w:color w:val="0A0A0A"/>
          <w:sz w:val="20"/>
          <w:szCs w:val="20"/>
        </w:rPr>
        <w:t xml:space="preserve"/>
      </w:r>
    </w:p>
    <w:p>
      <w:pPr>
        <w:keepNext w:val="false"/>
        <w:pBdr>
          <w:bottom w:val="single" w:color="0A0A0A" w:sz="4" w:space="1"/>
        </w:pBdr>
        <w:spacing w:after="160" w:before="0" w:line="276"/>
        <w:jc w:val="left"/>
      </w:pPr>
      <w:r>
        <w:rPr>
          <w:rFonts w:ascii="Arial" w:cs="Arial" w:eastAsia="Arial" w:hAnsi="Arial"/>
          <w:b w:val="false"/>
          <w:bCs w:val="false"/>
          <w:i w:val="false"/>
          <w:iCs w:val="false"/>
          <w:color w:val="0A0A0A"/>
          <w:sz w:val="20"/>
          <w:szCs w:val="20"/>
        </w:rPr>
        <w:t xml:space="preserve"/>
      </w:r>
    </w:p>
    <w:p>
      <w:pPr>
        <w:keepNext w:val="false"/>
        <w:spacing w:after="140" w:before="0" w:line="276"/>
        <w:jc w:val="center"/>
      </w:pPr>
      <w:r>
        <w:rPr>
          <w:rFonts w:ascii="Arial" w:cs="Arial" w:eastAsia="Arial" w:hAnsi="Arial"/>
          <w:b w:val="false"/>
          <w:bCs w:val="false"/>
          <w:i w:val="false"/>
          <w:iCs w:val="false"/>
          <w:color w:val="888888"/>
          <w:sz w:val="17"/>
          <w:szCs w:val="17"/>
        </w:rPr>
        <w:t xml:space="preserve">NORTH AMERICAN PILATES INSTITUTE</w:t>
      </w:r>
    </w:p>
    <w:p>
      <w:pPr>
        <w:keepNext w:val="false"/>
        <w:spacing w:after="60" w:before="0" w:line="60"/>
        <w:jc w:val="center"/>
      </w:pPr>
      <w:r>
        <w:rPr>
          <w:rFonts w:ascii="Arial" w:cs="Arial" w:eastAsia="Arial" w:hAnsi="Arial"/>
          <w:b/>
          <w:bCs/>
          <w:i w:val="false"/>
          <w:iCs w:val="false"/>
          <w:color w:val="0A0A0A"/>
          <w:sz w:val="54"/>
          <w:szCs w:val="54"/>
        </w:rPr>
        <w:t xml:space="preserve">Mat Pilates Teacher Training</w:t>
      </w:r>
    </w:p>
    <w:p>
      <w:pPr>
        <w:keepNext w:val="false"/>
        <w:spacing w:after="200" w:before="0" w:line="60"/>
        <w:jc w:val="center"/>
      </w:pPr>
      <w:r>
        <w:rPr>
          <w:rFonts w:ascii="Arial" w:cs="Arial" w:eastAsia="Arial" w:hAnsi="Arial"/>
          <w:b/>
          <w:bCs/>
          <w:i w:val="false"/>
          <w:iCs w:val="false"/>
          <w:color w:val="0A0A0A"/>
          <w:sz w:val="54"/>
          <w:szCs w:val="54"/>
        </w:rPr>
        <w:t xml:space="preserve">Certification Standards</w:t>
      </w:r>
    </w:p>
    <w:p>
      <w:pPr>
        <w:keepNext w:val="false"/>
        <w:spacing w:after="80" w:before="0" w:line="276"/>
        <w:jc w:val="center"/>
      </w:pPr>
      <w:r>
        <w:rPr>
          <w:rFonts w:ascii="Arial" w:cs="Arial" w:eastAsia="Arial" w:hAnsi="Arial"/>
          <w:b w:val="false"/>
          <w:bCs w:val="false"/>
          <w:i w:val="false"/>
          <w:iCs w:val="false"/>
          <w:color w:val="444444"/>
          <w:sz w:val="24"/>
          <w:szCs w:val="24"/>
        </w:rPr>
        <w:t xml:space="preserve">175-Hour Program Framework</w:t>
      </w:r>
    </w:p>
    <w:p>
      <w:pPr>
        <w:keepNext w:val="false"/>
        <w:spacing w:after="320" w:before="0" w:line="276"/>
        <w:jc w:val="center"/>
      </w:pPr>
      <w:r>
        <w:rPr>
          <w:rFonts w:ascii="Arial" w:cs="Arial" w:eastAsia="Arial" w:hAnsi="Arial"/>
          <w:b w:val="false"/>
          <w:bCs w:val="false"/>
          <w:i w:val="false"/>
          <w:iCs w:val="false"/>
          <w:color w:val="888888"/>
          <w:sz w:val="20"/>
          <w:szCs w:val="20"/>
        </w:rPr>
        <w:t xml:space="preserve">Mat  ·  Small Props  ·  Supervised Teaching</w:t>
      </w:r>
    </w:p>
    <w:p>
      <w:pPr>
        <w:keepNext w:val="false"/>
        <w:pBdr>
          <w:bottom w:val="single" w:color="CCCCCC" w:sz="4" w:space="1"/>
        </w:pBdr>
        <w:spacing w:after="36" w:before="0" w:line="276"/>
        <w:jc w:val="left"/>
      </w:pPr>
      <w:r>
        <w:rPr>
          <w:rFonts w:ascii="Arial" w:cs="Arial" w:eastAsia="Arial" w:hAnsi="Arial"/>
          <w:b w:val="false"/>
          <w:bCs w:val="false"/>
          <w:i w:val="false"/>
          <w:iCs w:val="false"/>
          <w:color w:val="0A0A0A"/>
          <w:sz w:val="20"/>
          <w:szCs w:val="20"/>
        </w:rPr>
        <w:t xml:space="preserve"/>
      </w:r>
    </w:p>
    <w:p>
      <w:pPr>
        <w:keepNext w:val="false"/>
        <w:pBdr>
          <w:bottom w:val="single" w:color="0A0A0A" w:sz="24" w:space="1"/>
        </w:pBdr>
        <w:spacing w:after="360" w:before="0" w:line="276"/>
        <w:jc w:val="left"/>
      </w:pPr>
      <w:r>
        <w:rPr>
          <w:rFonts w:ascii="Arial" w:cs="Arial" w:eastAsia="Arial" w:hAnsi="Arial"/>
          <w:b w:val="false"/>
          <w:bCs w:val="false"/>
          <w:i w:val="false"/>
          <w:iCs w:val="false"/>
          <w:color w:val="0A0A0A"/>
          <w:sz w:val="20"/>
          <w:szCs w:val="20"/>
        </w:rPr>
        <w:t xml:space="preserve"/>
      </w:r>
    </w:p>
    <w:p>
      <w:pPr>
        <w:keepNext w:val="false"/>
        <w:spacing w:after="60" w:before="0" w:line="276"/>
        <w:jc w:val="center"/>
      </w:pPr>
      <w:r>
        <w:rPr>
          <w:rFonts w:ascii="Arial" w:cs="Arial" w:eastAsia="Arial" w:hAnsi="Arial"/>
          <w:b w:val="false"/>
          <w:bCs w:val="false"/>
          <w:i w:val="false"/>
          <w:iCs w:val="false"/>
          <w:color w:val="888888"/>
          <w:sz w:val="17"/>
          <w:szCs w:val="17"/>
        </w:rPr>
        <w:t xml:space="preserve">Edition 2026  ·  Version 1.0</w:t>
      </w:r>
    </w:p>
    <w:p>
      <w:pPr>
        <w:keepNext w:val="false"/>
        <w:spacing w:after="80" w:before="0" w:line="276"/>
        <w:jc w:val="center"/>
      </w:pPr>
      <w:r>
        <w:rPr>
          <w:rFonts w:ascii="Arial" w:cs="Arial" w:eastAsia="Arial" w:hAnsi="Arial"/>
          <w:b w:val="false"/>
          <w:bCs w:val="false"/>
          <w:i w:val="false"/>
          <w:iCs w:val="false"/>
          <w:color w:val="888888"/>
          <w:sz w:val="17"/>
          <w:szCs w:val="17"/>
        </w:rPr>
        <w:t xml:space="preserve">Effective: January 1, 2026</w:t>
      </w:r>
    </w:p>
    <w:p>
      <w:pPr>
        <w:keepNext w:val="false"/>
        <w:spacing w:after="40" w:before="0" w:line="276"/>
        <w:jc w:val="center"/>
      </w:pPr>
      <w:r>
        <w:rPr>
          <w:rFonts w:ascii="Arial" w:cs="Arial" w:eastAsia="Arial" w:hAnsi="Arial"/>
          <w:b w:val="false"/>
          <w:bCs w:val="false"/>
          <w:i w:val="false"/>
          <w:iCs w:val="false"/>
          <w:color w:val="888888"/>
          <w:sz w:val="16"/>
          <w:szCs w:val="16"/>
        </w:rPr>
        <w:t xml:space="preserve">North American Pilates Institute  ·  northamericanpilates.com</w:t>
      </w:r>
    </w:p>
    <w:p>
      <w:pPr>
        <w:keepNext w:val="false"/>
        <w:spacing w:after="0" w:before="0" w:line="276"/>
        <w:jc w:val="center"/>
      </w:pPr>
      <w:r>
        <w:rPr>
          <w:rFonts w:ascii="Arial" w:cs="Arial" w:eastAsia="Arial" w:hAnsi="Arial"/>
          <w:b w:val="false"/>
          <w:bCs w:val="false"/>
          <w:i w:val="false"/>
          <w:iCs w:val="false"/>
          <w:color w:val="888888"/>
          <w:sz w:val="16"/>
          <w:szCs w:val="16"/>
        </w:rPr>
        <w:t xml:space="preserve">certification@northamericanpilates.com</w:t>
      </w:r>
    </w:p>
    <w:p>
      <w:pPr>
        <w:keepNext w:val="false"/>
        <w:spacing w:after="0" w:before="0" w:line="276"/>
        <w:jc w:val="left"/>
      </w:pPr>
      <w:r>
        <w:br w:type="page"/>
      </w:r>
    </w:p>
    <w:p>
      <w:pPr>
        <w:sectPr>
          <w:type w:val="nextPage"/>
          <w:pgSz w:w="12240" w:h="15840" w:orient="portrait"/>
          <w:pgMar w:top="1152" w:right="1512" w:bottom="1152" w:left="1512" w:header="708" w:footer="708" w:gutter="0"/>
          <w:pgNumType/>
          <w:docGrid w:linePitch="360"/>
        </w:sectPr>
      </w:pPr>
    </w:p>
    <w:p>
      <w:pPr>
        <w:keepNext w:val="false"/>
        <w:spacing w:after="60" w:before="240" w:line="276"/>
        <w:jc w:val="left"/>
      </w:pPr>
      <w:r>
        <w:rPr>
          <w:rFonts w:ascii="Arial" w:cs="Arial" w:eastAsia="Arial" w:hAnsi="Arial"/>
          <w:b w:val="false"/>
          <w:bCs w:val="false"/>
          <w:i w:val="false"/>
          <w:iCs w:val="false"/>
          <w:color w:val="888888"/>
          <w:sz w:val="16"/>
          <w:szCs w:val="16"/>
        </w:rPr>
        <w:t xml:space="preserve">I</w:t>
      </w:r>
    </w:p>
    <w:p>
      <w:pPr>
        <w:keepNext/>
        <w:pBdr>
          <w:bottom w:val="single" w:color="0A0A0A" w:sz="18" w:space="1"/>
        </w:pBdr>
        <w:spacing w:after="60" w:before="0" w:line="276"/>
        <w:jc w:val="left"/>
      </w:pPr>
      <w:r>
        <w:rPr>
          <w:rFonts w:ascii="Arial" w:cs="Arial" w:eastAsia="Arial" w:hAnsi="Arial"/>
          <w:b w:val="false"/>
          <w:bCs w:val="false"/>
          <w:i w:val="false"/>
          <w:iCs w:val="false"/>
          <w:color w:val="0A0A0A"/>
          <w:sz w:val="20"/>
          <w:szCs w:val="20"/>
        </w:rPr>
        <w:t xml:space="preserve"/>
      </w:r>
    </w:p>
    <w:p>
      <w:pPr>
        <w:keepNext/>
        <w:spacing w:after="100" w:before="0" w:line="276"/>
        <w:jc w:val="left"/>
      </w:pPr>
      <w:r>
        <w:rPr>
          <w:rFonts w:ascii="Arial" w:cs="Arial" w:eastAsia="Arial" w:hAnsi="Arial"/>
          <w:b/>
          <w:bCs/>
          <w:i w:val="false"/>
          <w:iCs w:val="false"/>
          <w:color w:val="0A0A0A"/>
          <w:sz w:val="28"/>
          <w:szCs w:val="28"/>
        </w:rPr>
        <w:t xml:space="preserve">Mission</w:t>
      </w:r>
    </w:p>
    <w:p>
      <w:pPr>
        <w:keepNext w:val="false"/>
        <w:spacing w:after="100" w:before="0" w:line="290"/>
        <w:jc w:val="both"/>
      </w:pPr>
      <w:r>
        <w:rPr>
          <w:rFonts w:ascii="Arial" w:cs="Arial" w:eastAsia="Arial" w:hAnsi="Arial"/>
          <w:b w:val="false"/>
          <w:bCs w:val="false"/>
          <w:i w:val="false"/>
          <w:iCs w:val="false"/>
          <w:color w:val="0A0A0A"/>
          <w:sz w:val="19"/>
          <w:szCs w:val="19"/>
        </w:rPr>
        <w:t xml:space="preserve">The North American Pilates Institute (NAPI) exists to develop competent, ethical, and evidence-informed Pilates professionals through structured education, supervised practice, and practical teaching experience.</w:t>
      </w:r>
    </w:p>
    <w:p>
      <w:pPr>
        <w:keepNext w:val="false"/>
        <w:spacing w:after="100" w:before="0" w:line="290"/>
        <w:jc w:val="both"/>
      </w:pPr>
      <w:r>
        <w:rPr>
          <w:rFonts w:ascii="Arial" w:cs="Arial" w:eastAsia="Arial" w:hAnsi="Arial"/>
          <w:b w:val="false"/>
          <w:bCs w:val="false"/>
          <w:i w:val="false"/>
          <w:iCs w:val="false"/>
          <w:color w:val="0A0A0A"/>
          <w:sz w:val="19"/>
          <w:szCs w:val="19"/>
        </w:rPr>
        <w:t xml:space="preserve">The Mat Pilates Teacher Training Program prepares instructors to safely teach the full Mat repertoire, apply classical and contemporary Pilates principles, observe movement quality, and deliver professional instruction across group and private settings. Graduates are equipped to work confidently in studios, fitness facilities, community wellness programs, and rehabilitative environments.</w:t>
      </w:r>
    </w:p>
    <w:p>
      <w:pPr>
        <w:keepNext w:val="false"/>
        <w:spacing w:after="60" w:before="240" w:line="276"/>
        <w:jc w:val="left"/>
      </w:pPr>
      <w:r>
        <w:rPr>
          <w:rFonts w:ascii="Arial" w:cs="Arial" w:eastAsia="Arial" w:hAnsi="Arial"/>
          <w:b w:val="false"/>
          <w:bCs w:val="false"/>
          <w:i w:val="false"/>
          <w:iCs w:val="false"/>
          <w:color w:val="888888"/>
          <w:sz w:val="16"/>
          <w:szCs w:val="16"/>
        </w:rPr>
        <w:t xml:space="preserve">II</w:t>
      </w:r>
    </w:p>
    <w:p>
      <w:pPr>
        <w:keepNext/>
        <w:pBdr>
          <w:bottom w:val="single" w:color="0A0A0A" w:sz="18" w:space="1"/>
        </w:pBdr>
        <w:spacing w:after="60" w:before="0" w:line="276"/>
        <w:jc w:val="left"/>
      </w:pPr>
      <w:r>
        <w:rPr>
          <w:rFonts w:ascii="Arial" w:cs="Arial" w:eastAsia="Arial" w:hAnsi="Arial"/>
          <w:b w:val="false"/>
          <w:bCs w:val="false"/>
          <w:i w:val="false"/>
          <w:iCs w:val="false"/>
          <w:color w:val="0A0A0A"/>
          <w:sz w:val="20"/>
          <w:szCs w:val="20"/>
        </w:rPr>
        <w:t xml:space="preserve"/>
      </w:r>
    </w:p>
    <w:p>
      <w:pPr>
        <w:keepNext/>
        <w:spacing w:after="100" w:before="0" w:line="276"/>
        <w:jc w:val="left"/>
      </w:pPr>
      <w:r>
        <w:rPr>
          <w:rFonts w:ascii="Arial" w:cs="Arial" w:eastAsia="Arial" w:hAnsi="Arial"/>
          <w:b/>
          <w:bCs/>
          <w:i w:val="false"/>
          <w:iCs w:val="false"/>
          <w:color w:val="0A0A0A"/>
          <w:sz w:val="28"/>
          <w:szCs w:val="28"/>
        </w:rPr>
        <w:t xml:space="preserve">Who This Certification Is For</w:t>
      </w:r>
    </w:p>
    <w:p>
      <w:pPr>
        <w:keepNext w:val="false"/>
        <w:spacing w:after="100" w:before="0" w:line="290"/>
        <w:jc w:val="both"/>
      </w:pPr>
      <w:r>
        <w:rPr>
          <w:rFonts w:ascii="Arial" w:cs="Arial" w:eastAsia="Arial" w:hAnsi="Arial"/>
          <w:b w:val="false"/>
          <w:bCs w:val="false"/>
          <w:i w:val="false"/>
          <w:iCs w:val="false"/>
          <w:color w:val="0A0A0A"/>
          <w:sz w:val="19"/>
          <w:szCs w:val="19"/>
        </w:rPr>
        <w:t xml:space="preserve">This certification is designed for individuals seeking to become professional Mat Pilates instructors. The program welcomes applicants from diverse professional and personal backgrounds.</w:t>
      </w:r>
    </w:p>
    <w:p>
      <w:pPr>
        <w:keepNext/>
        <w:spacing w:after="60" w:before="160" w:line="276"/>
        <w:jc w:val="left"/>
      </w:pPr>
      <w:r>
        <w:rPr>
          <w:rFonts w:ascii="Arial" w:cs="Arial" w:eastAsia="Arial" w:hAnsi="Arial"/>
          <w:b/>
          <w:bCs/>
          <w:i w:val="false"/>
          <w:iCs w:val="false"/>
          <w:color w:val="0A0A0A"/>
          <w:sz w:val="20"/>
          <w:szCs w:val="20"/>
        </w:rPr>
        <w:t xml:space="preserve">Suitable Applicants Include</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Individuals seeking a foundational professional Pilates credential</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Fitness professionals expanding their movement teaching repertoire</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Yoga, dance, somatic movement, and group exercise educators</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Rehabilitation, healthcare, and allied wellness professionals</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Personal trainers seeking structured Pilates specialization</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Career changers with a commitment to professional instruction</w:t>
      </w:r>
    </w:p>
    <w:p>
      <w:pPr>
        <w:keepNext/>
        <w:spacing w:after="60" w:before="160" w:line="276"/>
        <w:jc w:val="left"/>
      </w:pPr>
      <w:r>
        <w:rPr>
          <w:rFonts w:ascii="Arial" w:cs="Arial" w:eastAsia="Arial" w:hAnsi="Arial"/>
          <w:b/>
          <w:bCs/>
          <w:i w:val="false"/>
          <w:iCs w:val="false"/>
          <w:color w:val="0A0A0A"/>
          <w:sz w:val="20"/>
          <w:szCs w:val="20"/>
        </w:rPr>
        <w:t xml:space="preserve">Minimum Entry Requirements</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Meets minimum age requirement per institutional policy</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Completion of admissions requirements as stipulated by NAPI</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Sufficient communication ability to deliver clear verbal instruction</w:t>
      </w:r>
    </w:p>
    <w:p>
      <w:pPr>
        <w:keepNext w:val="false"/>
        <w:spacing w:after="60" w:before="240" w:line="276"/>
        <w:jc w:val="left"/>
      </w:pPr>
      <w:r>
        <w:rPr>
          <w:rFonts w:ascii="Arial" w:cs="Arial" w:eastAsia="Arial" w:hAnsi="Arial"/>
          <w:b w:val="false"/>
          <w:bCs w:val="false"/>
          <w:i w:val="false"/>
          <w:iCs w:val="false"/>
          <w:color w:val="888888"/>
          <w:sz w:val="16"/>
          <w:szCs w:val="16"/>
        </w:rPr>
        <w:t xml:space="preserve">III</w:t>
      </w:r>
    </w:p>
    <w:p>
      <w:pPr>
        <w:keepNext/>
        <w:pBdr>
          <w:bottom w:val="single" w:color="0A0A0A" w:sz="18" w:space="1"/>
        </w:pBdr>
        <w:spacing w:after="60" w:before="0" w:line="276"/>
        <w:jc w:val="left"/>
      </w:pPr>
      <w:r>
        <w:rPr>
          <w:rFonts w:ascii="Arial" w:cs="Arial" w:eastAsia="Arial" w:hAnsi="Arial"/>
          <w:b w:val="false"/>
          <w:bCs w:val="false"/>
          <w:i w:val="false"/>
          <w:iCs w:val="false"/>
          <w:color w:val="0A0A0A"/>
          <w:sz w:val="20"/>
          <w:szCs w:val="20"/>
        </w:rPr>
        <w:t xml:space="preserve"/>
      </w:r>
    </w:p>
    <w:p>
      <w:pPr>
        <w:keepNext/>
        <w:spacing w:after="100" w:before="0" w:line="276"/>
        <w:jc w:val="left"/>
      </w:pPr>
      <w:r>
        <w:rPr>
          <w:rFonts w:ascii="Arial" w:cs="Arial" w:eastAsia="Arial" w:hAnsi="Arial"/>
          <w:b/>
          <w:bCs/>
          <w:i w:val="false"/>
          <w:iCs w:val="false"/>
          <w:color w:val="0A0A0A"/>
          <w:sz w:val="28"/>
          <w:szCs w:val="28"/>
        </w:rPr>
        <w:t xml:space="preserve">Program Structure &amp; Total Hours</w:t>
      </w:r>
    </w:p>
    <w:p>
      <w:pPr>
        <w:keepNext w:val="false"/>
        <w:spacing w:after="100" w:before="0" w:line="290"/>
        <w:jc w:val="both"/>
      </w:pPr>
      <w:r>
        <w:rPr>
          <w:rFonts w:ascii="Arial" w:cs="Arial" w:eastAsia="Arial" w:hAnsi="Arial"/>
          <w:b w:val="false"/>
          <w:bCs w:val="false"/>
          <w:i w:val="false"/>
          <w:iCs w:val="false"/>
          <w:color w:val="0A0A0A"/>
          <w:sz w:val="19"/>
          <w:szCs w:val="19"/>
        </w:rPr>
        <w:t xml:space="preserve">The NAPI Mat Pilates Teacher Training Program requires a minimum of </w:t>
      </w:r>
      <w:r>
        <w:rPr>
          <w:rFonts w:ascii="Arial" w:cs="Arial" w:eastAsia="Arial" w:hAnsi="Arial"/>
          <w:b/>
          <w:bCs/>
          <w:i w:val="false"/>
          <w:iCs w:val="false"/>
          <w:color w:val="0A0A0A"/>
          <w:sz w:val="19"/>
          <w:szCs w:val="19"/>
        </w:rPr>
        <w:t xml:space="preserve">175 documented hours</w:t>
      </w:r>
      <w:r>
        <w:rPr>
          <w:rFonts w:ascii="Arial" w:cs="Arial" w:eastAsia="Arial" w:hAnsi="Arial"/>
          <w:b w:val="false"/>
          <w:bCs w:val="false"/>
          <w:i w:val="false"/>
          <w:iCs w:val="false"/>
          <w:color w:val="0A0A0A"/>
          <w:sz w:val="19"/>
          <w:szCs w:val="19"/>
        </w:rPr>
        <w:t xml:space="preserve">, distributed across seven defined training components. This structure ensures candidates develop theoretical knowledge, physical mastery, observation skills, and instructional competency before certification is awarded.</w:t>
      </w:r>
    </w:p>
    <w:p>
      <w:pPr>
        <w:keepNext w:val="false"/>
        <w:spacing w:after="60" w:before="0" w:line="240"/>
        <w:jc w:val="left"/>
      </w:pPr>
      <w:r>
        <w:rPr>
          <w:rFonts w:ascii="Arial" w:cs="Arial" w:eastAsia="Arial" w:hAnsi="Arial"/>
          <w:b w:val="false"/>
          <w:bCs w:val="false"/>
          <w:i w:val="false"/>
          <w:iCs w:val="false"/>
          <w:color w:val="0A0A0A"/>
          <w:sz w:val="20"/>
          <w:szCs w:val="20"/>
        </w:rPr>
        <w:t xml:space="preserve"/>
      </w:r>
    </w:p>
    <w:tbl>
      <w:tblPr>
        <w:tblW w:type="dxa" w:w="9216"/>
        <w:tblBorders>
          <w:top w:val="single" w:color="auto" w:sz="4"/>
          <w:left w:val="single" w:color="auto" w:sz="4"/>
          <w:bottom w:val="single" w:color="auto" w:sz="4"/>
          <w:right w:val="single" w:color="auto" w:sz="4"/>
          <w:insideH w:val="single" w:color="auto" w:sz="4"/>
          <w:insideV w:val="single" w:color="auto" w:sz="4"/>
        </w:tblBorders>
      </w:tblPr>
      <w:tblGrid>
        <w:gridCol w:w="7004"/>
        <w:gridCol w:w="2212"/>
      </w:tblGrid>
      <w:tr>
        <w:trPr>
          <w:tblHeader/>
        </w:trPr>
        <w:tc>
          <w:tcPr>
            <w:tcW w:type="dxa" w:w="7004"/>
            <w:gridSpan w:val="1"/>
            <w:tcBorders>
              <w:top w:val="none" w:color="FFFFFF" w:sz="0"/>
              <w:left w:val="none" w:color="FFFFFF" w:sz="0"/>
              <w:bottom w:val="single" w:color="CCCCCC" w:sz="6"/>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bCs/>
                <w:i w:val="false"/>
                <w:iCs w:val="false"/>
                <w:color w:val="888888"/>
                <w:sz w:val="17"/>
                <w:szCs w:val="17"/>
              </w:rPr>
              <w:t xml:space="preserve">Training Component</w:t>
            </w:r>
          </w:p>
        </w:tc>
        <w:tc>
          <w:tcPr>
            <w:tcW w:type="dxa" w:w="2212"/>
            <w:gridSpan w:val="1"/>
            <w:tcBorders>
              <w:top w:val="none" w:color="FFFFFF" w:sz="0"/>
              <w:left w:val="none" w:color="FFFFFF" w:sz="0"/>
              <w:bottom w:val="single" w:color="CCCCCC" w:sz="6"/>
              <w:right w:val="none" w:color="FFFFFF" w:sz="0"/>
            </w:tcBorders>
            <w:shd w:fill="FFFFFF" w:val="clear"/>
            <w:tcMar>
              <w:top w:type="dxa" w:w="90"/>
              <w:left w:type="dxa" w:w="130"/>
              <w:bottom w:type="dxa" w:w="90"/>
              <w:right w:type="dxa" w:w="130"/>
            </w:tcMar>
            <w:vAlign w:val="top"/>
          </w:tcPr>
          <w:p>
            <w:pPr>
              <w:keepNext w:val="false"/>
              <w:spacing w:after="0" w:before="0" w:line="276"/>
              <w:jc w:val="center"/>
            </w:pPr>
            <w:r>
              <w:rPr>
                <w:rFonts w:ascii="Arial" w:cs="Arial" w:eastAsia="Arial" w:hAnsi="Arial"/>
                <w:b/>
                <w:bCs/>
                <w:i w:val="false"/>
                <w:iCs w:val="false"/>
                <w:color w:val="888888"/>
                <w:sz w:val="17"/>
                <w:szCs w:val="17"/>
              </w:rPr>
              <w:t xml:space="preserve">Hours</w:t>
            </w:r>
          </w:p>
        </w:tc>
      </w:tr>
      <w:tr>
        <w:trPr>
          <w:tblHeader w:val="false"/>
        </w:trPr>
        <w:tc>
          <w:tcPr>
            <w:tcW w:type="dxa" w:w="7004"/>
            <w:gridSpan w:val="1"/>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Lecture &amp; Instruction (QTT Delivered)</w:t>
            </w:r>
          </w:p>
        </w:tc>
        <w:tc>
          <w:tcPr>
            <w:tcW w:type="dxa" w:w="2212"/>
            <w:gridSpan w:val="1"/>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center"/>
            </w:pPr>
            <w:r>
              <w:rPr>
                <w:rFonts w:ascii="Arial" w:cs="Arial" w:eastAsia="Arial" w:hAnsi="Arial"/>
                <w:b w:val="false"/>
                <w:bCs w:val="false"/>
                <w:i w:val="false"/>
                <w:iCs w:val="false"/>
                <w:color w:val="0A0A0A"/>
                <w:sz w:val="19"/>
                <w:szCs w:val="19"/>
              </w:rPr>
              <w:t xml:space="preserve">50</w:t>
            </w:r>
          </w:p>
        </w:tc>
      </w:tr>
      <w:tr>
        <w:trPr>
          <w:tblHeader w:val="false"/>
        </w:trPr>
        <w:tc>
          <w:tcPr>
            <w:tcW w:type="dxa" w:w="7004"/>
            <w:gridSpan w:val="1"/>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Student Observation</w:t>
            </w:r>
          </w:p>
        </w:tc>
        <w:tc>
          <w:tcPr>
            <w:tcW w:type="dxa" w:w="2212"/>
            <w:gridSpan w:val="1"/>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center"/>
            </w:pPr>
            <w:r>
              <w:rPr>
                <w:rFonts w:ascii="Arial" w:cs="Arial" w:eastAsia="Arial" w:hAnsi="Arial"/>
                <w:b w:val="false"/>
                <w:bCs w:val="false"/>
                <w:i w:val="false"/>
                <w:iCs w:val="false"/>
                <w:color w:val="0A0A0A"/>
                <w:sz w:val="19"/>
                <w:szCs w:val="19"/>
              </w:rPr>
              <w:t xml:space="preserve">30</w:t>
            </w:r>
          </w:p>
        </w:tc>
      </w:tr>
      <w:tr>
        <w:trPr>
          <w:tblHeader w:val="false"/>
        </w:trPr>
        <w:tc>
          <w:tcPr>
            <w:tcW w:type="dxa" w:w="7004"/>
            <w:gridSpan w:val="1"/>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Self-Practice</w:t>
            </w:r>
          </w:p>
        </w:tc>
        <w:tc>
          <w:tcPr>
            <w:tcW w:type="dxa" w:w="2212"/>
            <w:gridSpan w:val="1"/>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center"/>
            </w:pPr>
            <w:r>
              <w:rPr>
                <w:rFonts w:ascii="Arial" w:cs="Arial" w:eastAsia="Arial" w:hAnsi="Arial"/>
                <w:b w:val="false"/>
                <w:bCs w:val="false"/>
                <w:i w:val="false"/>
                <w:iCs w:val="false"/>
                <w:color w:val="0A0A0A"/>
                <w:sz w:val="19"/>
                <w:szCs w:val="19"/>
              </w:rPr>
              <w:t xml:space="preserve">30</w:t>
            </w:r>
          </w:p>
        </w:tc>
      </w:tr>
      <w:tr>
        <w:trPr>
          <w:tblHeader w:val="false"/>
        </w:trPr>
        <w:tc>
          <w:tcPr>
            <w:tcW w:type="dxa" w:w="7004"/>
            <w:gridSpan w:val="1"/>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Student Teaching</w:t>
            </w:r>
          </w:p>
        </w:tc>
        <w:tc>
          <w:tcPr>
            <w:tcW w:type="dxa" w:w="2212"/>
            <w:gridSpan w:val="1"/>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center"/>
            </w:pPr>
            <w:r>
              <w:rPr>
                <w:rFonts w:ascii="Arial" w:cs="Arial" w:eastAsia="Arial" w:hAnsi="Arial"/>
                <w:b w:val="false"/>
                <w:bCs w:val="false"/>
                <w:i w:val="false"/>
                <w:iCs w:val="false"/>
                <w:color w:val="0A0A0A"/>
                <w:sz w:val="19"/>
                <w:szCs w:val="19"/>
              </w:rPr>
              <w:t xml:space="preserve">30</w:t>
            </w:r>
          </w:p>
        </w:tc>
      </w:tr>
      <w:tr>
        <w:trPr>
          <w:tblHeader w:val="false"/>
        </w:trPr>
        <w:tc>
          <w:tcPr>
            <w:tcW w:type="dxa" w:w="7004"/>
            <w:gridSpan w:val="1"/>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Assisted Teaching with QTT</w:t>
            </w:r>
          </w:p>
        </w:tc>
        <w:tc>
          <w:tcPr>
            <w:tcW w:type="dxa" w:w="2212"/>
            <w:gridSpan w:val="1"/>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center"/>
            </w:pPr>
            <w:r>
              <w:rPr>
                <w:rFonts w:ascii="Arial" w:cs="Arial" w:eastAsia="Arial" w:hAnsi="Arial"/>
                <w:b w:val="false"/>
                <w:bCs w:val="false"/>
                <w:i w:val="false"/>
                <w:iCs w:val="false"/>
                <w:color w:val="0A0A0A"/>
                <w:sz w:val="19"/>
                <w:szCs w:val="19"/>
              </w:rPr>
              <w:t xml:space="preserve">10</w:t>
            </w:r>
          </w:p>
        </w:tc>
      </w:tr>
      <w:tr>
        <w:trPr>
          <w:tblHeader w:val="false"/>
        </w:trPr>
        <w:tc>
          <w:tcPr>
            <w:tcW w:type="dxa" w:w="7004"/>
            <w:gridSpan w:val="1"/>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Private or Group Sessions with QTT</w:t>
            </w:r>
          </w:p>
        </w:tc>
        <w:tc>
          <w:tcPr>
            <w:tcW w:type="dxa" w:w="2212"/>
            <w:gridSpan w:val="1"/>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center"/>
            </w:pPr>
            <w:r>
              <w:rPr>
                <w:rFonts w:ascii="Arial" w:cs="Arial" w:eastAsia="Arial" w:hAnsi="Arial"/>
                <w:b w:val="false"/>
                <w:bCs w:val="false"/>
                <w:i w:val="false"/>
                <w:iCs w:val="false"/>
                <w:color w:val="0A0A0A"/>
                <w:sz w:val="19"/>
                <w:szCs w:val="19"/>
              </w:rPr>
              <w:t xml:space="preserve">20</w:t>
            </w:r>
          </w:p>
        </w:tc>
      </w:tr>
      <w:tr>
        <w:trPr>
          <w:tblHeader w:val="false"/>
        </w:trPr>
        <w:tc>
          <w:tcPr>
            <w:tcW w:type="dxa" w:w="7004"/>
            <w:gridSpan w:val="1"/>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QTT Observation of Student Teaching</w:t>
            </w:r>
          </w:p>
        </w:tc>
        <w:tc>
          <w:tcPr>
            <w:tcW w:type="dxa" w:w="2212"/>
            <w:gridSpan w:val="1"/>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center"/>
            </w:pPr>
            <w:r>
              <w:rPr>
                <w:rFonts w:ascii="Arial" w:cs="Arial" w:eastAsia="Arial" w:hAnsi="Arial"/>
                <w:b w:val="false"/>
                <w:bCs w:val="false"/>
                <w:i w:val="false"/>
                <w:iCs w:val="false"/>
                <w:color w:val="0A0A0A"/>
                <w:sz w:val="19"/>
                <w:szCs w:val="19"/>
              </w:rPr>
              <w:t xml:space="preserve">5</w:t>
            </w:r>
          </w:p>
        </w:tc>
      </w:tr>
      <w:tr>
        <w:trPr>
          <w:tblHeader w:val="false"/>
        </w:trPr>
        <w:tc>
          <w:tcPr>
            <w:tcW w:type="dxa" w:w="7004"/>
            <w:gridSpan w:val="1"/>
            <w:tcBorders>
              <w:top w:val="single" w:color="0A0A0A" w:sz="1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bCs/>
                <w:i w:val="false"/>
                <w:iCs w:val="false"/>
                <w:color w:val="0A0A0A"/>
                <w:sz w:val="19"/>
                <w:szCs w:val="19"/>
              </w:rPr>
              <w:t xml:space="preserve">TOTAL PROGRAM REQUIREMENT</w:t>
            </w:r>
          </w:p>
        </w:tc>
        <w:tc>
          <w:tcPr>
            <w:tcW w:type="dxa" w:w="2212"/>
            <w:gridSpan w:val="1"/>
            <w:tcBorders>
              <w:top w:val="single" w:color="0A0A0A" w:sz="1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center"/>
            </w:pPr>
            <w:r>
              <w:rPr>
                <w:rFonts w:ascii="Arial" w:cs="Arial" w:eastAsia="Arial" w:hAnsi="Arial"/>
                <w:b/>
                <w:bCs/>
                <w:i w:val="false"/>
                <w:iCs w:val="false"/>
                <w:color w:val="0A0A0A"/>
                <w:sz w:val="19"/>
                <w:szCs w:val="19"/>
              </w:rPr>
              <w:t xml:space="preserve">175</w:t>
            </w:r>
          </w:p>
        </w:tc>
      </w:tr>
    </w:tbl>
    <w:p>
      <w:pPr>
        <w:keepNext w:val="false"/>
        <w:spacing w:after="80" w:before="0" w:line="240"/>
        <w:jc w:val="left"/>
      </w:pPr>
      <w:r>
        <w:rPr>
          <w:rFonts w:ascii="Arial" w:cs="Arial" w:eastAsia="Arial" w:hAnsi="Arial"/>
          <w:b w:val="false"/>
          <w:bCs w:val="false"/>
          <w:i w:val="false"/>
          <w:iCs w:val="false"/>
          <w:color w:val="0A0A0A"/>
          <w:sz w:val="20"/>
          <w:szCs w:val="20"/>
        </w:rPr>
        <w:t xml:space="preserve"/>
      </w:r>
    </w:p>
    <w:p>
      <w:pPr>
        <w:keepNext/>
        <w:spacing w:after="60" w:before="160" w:line="276"/>
        <w:jc w:val="left"/>
      </w:pPr>
      <w:r>
        <w:rPr>
          <w:rFonts w:ascii="Arial" w:cs="Arial" w:eastAsia="Arial" w:hAnsi="Arial"/>
          <w:b/>
          <w:bCs/>
          <w:i w:val="false"/>
          <w:iCs w:val="false"/>
          <w:color w:val="0A0A0A"/>
          <w:sz w:val="20"/>
          <w:szCs w:val="20"/>
        </w:rPr>
        <w:t xml:space="preserve">Program Award &amp; Delivery</w:t>
      </w:r>
    </w:p>
    <w:tbl>
      <w:tblPr>
        <w:tblW w:type="dxa" w:w="9216"/>
        <w:tblBorders>
          <w:top w:val="single" w:color="auto" w:sz="4"/>
          <w:left w:val="single" w:color="auto" w:sz="4"/>
          <w:bottom w:val="single" w:color="auto" w:sz="4"/>
          <w:right w:val="single" w:color="auto" w:sz="4"/>
          <w:insideH w:val="single" w:color="auto" w:sz="4"/>
          <w:insideV w:val="single" w:color="auto" w:sz="4"/>
        </w:tblBorders>
      </w:tblPr>
      <w:tblGrid>
        <w:gridCol w:w="2765"/>
        <w:gridCol w:w="6451"/>
      </w:tblGrid>
      <w:tr>
        <w:trPr>
          <w:tblHeader/>
        </w:trPr>
        <w:tc>
          <w:tcPr>
            <w:tcW w:type="dxa" w:w="2765"/>
            <w:gridSpan w:val="1"/>
            <w:tcBorders>
              <w:top w:val="none" w:color="FFFFFF" w:sz="0"/>
              <w:left w:val="none" w:color="FFFFFF" w:sz="0"/>
              <w:bottom w:val="single" w:color="CCCCCC" w:sz="6"/>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bCs/>
                <w:i w:val="false"/>
                <w:iCs w:val="false"/>
                <w:color w:val="888888"/>
                <w:sz w:val="17"/>
                <w:szCs w:val="17"/>
              </w:rPr>
              <w:t xml:space="preserve">Program Award</w:t>
            </w:r>
          </w:p>
        </w:tc>
        <w:tc>
          <w:tcPr>
            <w:tcW w:type="dxa" w:w="6451"/>
            <w:gridSpan w:val="1"/>
            <w:tcBorders>
              <w:top w:val="none" w:color="FFFFFF" w:sz="0"/>
              <w:left w:val="none" w:color="FFFFFF" w:sz="0"/>
              <w:bottom w:val="single" w:color="CCCCCC" w:sz="6"/>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bCs/>
                <w:i w:val="false"/>
                <w:iCs w:val="false"/>
                <w:color w:val="888888"/>
                <w:sz w:val="17"/>
                <w:szCs w:val="17"/>
              </w:rPr>
              <w:t xml:space="preserve">Certificate in Mat Pilates Teacher Training</w:t>
            </w:r>
          </w:p>
        </w:tc>
      </w:tr>
      <w:tr>
        <w:trPr>
          <w:tblHeader w:val="false"/>
        </w:trPr>
        <w:tc>
          <w:tcPr>
            <w:tcW w:type="dxa" w:w="2765"/>
            <w:gridSpan w:val="1"/>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Delivery Mode</w:t>
            </w:r>
          </w:p>
        </w:tc>
        <w:tc>
          <w:tcPr>
            <w:tcW w:type="dxa" w:w="6451"/>
            <w:gridSpan w:val="1"/>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Hybrid  ·  Face-to-Face  ·  Online Supported</w:t>
            </w:r>
          </w:p>
        </w:tc>
      </w:tr>
      <w:tr>
        <w:trPr>
          <w:tblHeader w:val="false"/>
        </w:trPr>
        <w:tc>
          <w:tcPr>
            <w:tcW w:type="dxa" w:w="2765"/>
            <w:gridSpan w:val="1"/>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Document No.</w:t>
            </w:r>
          </w:p>
        </w:tc>
        <w:tc>
          <w:tcPr>
            <w:tcW w:type="dxa" w:w="6451"/>
            <w:gridSpan w:val="1"/>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NAPI-MTTS-175-V1</w:t>
            </w:r>
          </w:p>
        </w:tc>
      </w:tr>
      <w:tr>
        <w:trPr>
          <w:tblHeader w:val="false"/>
        </w:trPr>
        <w:tc>
          <w:tcPr>
            <w:tcW w:type="dxa" w:w="2765"/>
            <w:gridSpan w:val="1"/>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Review Cycle</w:t>
            </w:r>
          </w:p>
        </w:tc>
        <w:tc>
          <w:tcPr>
            <w:tcW w:type="dxa" w:w="6451"/>
            <w:gridSpan w:val="1"/>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Every 24 months</w:t>
            </w:r>
          </w:p>
        </w:tc>
      </w:tr>
    </w:tbl>
    <w:p>
      <w:pPr>
        <w:keepNext w:val="false"/>
        <w:spacing w:after="80" w:before="0" w:line="240"/>
        <w:jc w:val="left"/>
      </w:pPr>
      <w:r>
        <w:rPr>
          <w:rFonts w:ascii="Arial" w:cs="Arial" w:eastAsia="Arial" w:hAnsi="Arial"/>
          <w:b w:val="false"/>
          <w:bCs w:val="false"/>
          <w:i w:val="false"/>
          <w:iCs w:val="false"/>
          <w:color w:val="0A0A0A"/>
          <w:sz w:val="20"/>
          <w:szCs w:val="20"/>
        </w:rPr>
        <w:t xml:space="preserve"/>
      </w:r>
    </w:p>
    <w:p>
      <w:pPr>
        <w:keepNext/>
        <w:spacing w:after="60" w:before="160" w:line="276"/>
        <w:jc w:val="left"/>
      </w:pPr>
      <w:r>
        <w:rPr>
          <w:rFonts w:ascii="Arial" w:cs="Arial" w:eastAsia="Arial" w:hAnsi="Arial"/>
          <w:b/>
          <w:bCs/>
          <w:i w:val="false"/>
          <w:iCs w:val="false"/>
          <w:color w:val="0A0A0A"/>
          <w:sz w:val="20"/>
          <w:szCs w:val="20"/>
        </w:rPr>
        <w:t xml:space="preserve">Lecture Curriculum Overview</w:t>
      </w:r>
    </w:p>
    <w:p>
      <w:pPr>
        <w:keepNext w:val="false"/>
        <w:spacing w:after="100" w:before="0" w:line="290"/>
        <w:jc w:val="both"/>
      </w:pPr>
      <w:r>
        <w:rPr>
          <w:rFonts w:ascii="Arial" w:cs="Arial" w:eastAsia="Arial" w:hAnsi="Arial"/>
          <w:b w:val="false"/>
          <w:bCs w:val="false"/>
          <w:i w:val="false"/>
          <w:iCs w:val="false"/>
          <w:color w:val="0A0A0A"/>
          <w:sz w:val="19"/>
          <w:szCs w:val="19"/>
        </w:rPr>
        <w:t xml:space="preserve">The 50-hour lecture component is delivered across six training days by a Qualified Teacher Trainer (QTT) and structured as follows:</w:t>
      </w:r>
    </w:p>
    <w:p>
      <w:pPr>
        <w:keepNext w:val="false"/>
        <w:spacing w:after="50" w:before="0" w:line="240"/>
        <w:jc w:val="left"/>
      </w:pPr>
      <w:r>
        <w:rPr>
          <w:rFonts w:ascii="Arial" w:cs="Arial" w:eastAsia="Arial" w:hAnsi="Arial"/>
          <w:b w:val="false"/>
          <w:bCs w:val="false"/>
          <w:i w:val="false"/>
          <w:iCs w:val="false"/>
          <w:color w:val="0A0A0A"/>
          <w:sz w:val="20"/>
          <w:szCs w:val="20"/>
        </w:rPr>
        <w:t xml:space="preserve"/>
      </w:r>
    </w:p>
    <w:tbl>
      <w:tblPr>
        <w:tblW w:type="dxa" w:w="9216"/>
        <w:tblBorders>
          <w:top w:val="single" w:color="auto" w:sz="4"/>
          <w:left w:val="single" w:color="auto" w:sz="4"/>
          <w:bottom w:val="single" w:color="auto" w:sz="4"/>
          <w:right w:val="single" w:color="auto" w:sz="4"/>
          <w:insideH w:val="single" w:color="auto" w:sz="4"/>
          <w:insideV w:val="single" w:color="auto" w:sz="4"/>
        </w:tblBorders>
      </w:tblPr>
      <w:tblGrid>
        <w:gridCol w:w="3502"/>
        <w:gridCol w:w="737"/>
        <w:gridCol w:w="1290"/>
        <w:gridCol w:w="3687"/>
      </w:tblGrid>
      <w:tr>
        <w:trPr>
          <w:tblHeader/>
        </w:trPr>
        <w:tc>
          <w:tcPr>
            <w:tcW w:type="dxa" w:w="3502"/>
            <w:tcBorders>
              <w:top w:val="none" w:color="FFFFFF" w:sz="0"/>
              <w:left w:val="none" w:color="FFFFFF" w:sz="0"/>
              <w:bottom w:val="single" w:color="CCCCCC" w:sz="6"/>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bCs/>
                <w:i w:val="false"/>
                <w:iCs w:val="false"/>
                <w:color w:val="888888"/>
                <w:sz w:val="17"/>
                <w:szCs w:val="17"/>
              </w:rPr>
              <w:t xml:space="preserve">Module</w:t>
            </w:r>
          </w:p>
        </w:tc>
        <w:tc>
          <w:tcPr>
            <w:tcW w:type="dxa" w:w="737"/>
            <w:tcBorders>
              <w:top w:val="none" w:color="FFFFFF" w:sz="0"/>
              <w:left w:val="none" w:color="FFFFFF" w:sz="0"/>
              <w:bottom w:val="single" w:color="CCCCCC" w:sz="6"/>
              <w:right w:val="none" w:color="FFFFFF" w:sz="0"/>
            </w:tcBorders>
            <w:shd w:fill="FFFFFF" w:val="clear"/>
            <w:tcMar>
              <w:top w:type="dxa" w:w="90"/>
              <w:left w:type="dxa" w:w="130"/>
              <w:bottom w:type="dxa" w:w="90"/>
              <w:right w:type="dxa" w:w="130"/>
            </w:tcMar>
            <w:vAlign w:val="top"/>
          </w:tcPr>
          <w:p>
            <w:pPr>
              <w:keepNext w:val="false"/>
              <w:spacing w:after="0" w:before="0" w:line="276"/>
              <w:jc w:val="center"/>
            </w:pPr>
            <w:r>
              <w:rPr>
                <w:rFonts w:ascii="Arial" w:cs="Arial" w:eastAsia="Arial" w:hAnsi="Arial"/>
                <w:b/>
                <w:bCs/>
                <w:i w:val="false"/>
                <w:iCs w:val="false"/>
                <w:color w:val="888888"/>
                <w:sz w:val="17"/>
                <w:szCs w:val="17"/>
              </w:rPr>
              <w:t xml:space="preserve">Hrs</w:t>
            </w:r>
          </w:p>
        </w:tc>
        <w:tc>
          <w:tcPr>
            <w:tcW w:type="dxa" w:w="1290"/>
            <w:tcBorders>
              <w:top w:val="none" w:color="FFFFFF" w:sz="0"/>
              <w:left w:val="none" w:color="FFFFFF" w:sz="0"/>
              <w:bottom w:val="single" w:color="CCCCCC" w:sz="6"/>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bCs/>
                <w:i w:val="false"/>
                <w:iCs w:val="false"/>
                <w:color w:val="888888"/>
                <w:sz w:val="17"/>
                <w:szCs w:val="17"/>
              </w:rPr>
              <w:t xml:space="preserve">Delivery</w:t>
            </w:r>
          </w:p>
        </w:tc>
        <w:tc>
          <w:tcPr>
            <w:tcW w:type="dxa" w:w="3687"/>
            <w:tcBorders>
              <w:top w:val="none" w:color="FFFFFF" w:sz="0"/>
              <w:left w:val="none" w:color="FFFFFF" w:sz="0"/>
              <w:bottom w:val="single" w:color="CCCCCC" w:sz="6"/>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bCs/>
                <w:i w:val="false"/>
                <w:iCs w:val="false"/>
                <w:color w:val="888888"/>
                <w:sz w:val="17"/>
                <w:szCs w:val="17"/>
              </w:rPr>
              <w:t xml:space="preserve">Content Summary</w:t>
            </w:r>
          </w:p>
        </w:tc>
      </w:tr>
      <w:tr>
        <w:tc>
          <w:tcPr>
            <w:tcW w:type="dxa" w:w="9216"/>
            <w:gridSpan w:val="4"/>
            <w:tcBorders>
              <w:top w:val="none" w:color="FFFFFF" w:sz="0"/>
              <w:left w:val="none" w:color="FFFFFF" w:sz="0"/>
              <w:bottom w:val="none" w:color="FFFFFF" w:sz="0"/>
              <w:right w:val="none" w:color="FFFFFF" w:sz="0"/>
            </w:tcBorders>
            <w:shd w:fill="2C2C2C" w:val="clear"/>
            <w:tcMar>
              <w:top w:type="dxa" w:w="100"/>
              <w:left w:type="dxa" w:w="130"/>
              <w:bottom w:type="dxa" w:w="100"/>
              <w:right w:type="dxa" w:w="130"/>
            </w:tcMar>
            <w:vAlign w:val="center"/>
          </w:tcPr>
          <w:p>
            <w:pPr>
              <w:keepNext w:val="false"/>
              <w:spacing w:after="0" w:before="0" w:line="276"/>
              <w:jc w:val="left"/>
            </w:pPr>
            <w:r>
              <w:rPr>
                <w:rFonts w:ascii="Arial" w:cs="Arial" w:eastAsia="Arial" w:hAnsi="Arial"/>
                <w:b/>
                <w:bCs/>
                <w:i w:val="false"/>
                <w:iCs w:val="false"/>
                <w:color w:val="FFFFFF"/>
                <w:sz w:val="18"/>
                <w:szCs w:val="18"/>
              </w:rPr>
              <w:t xml:space="preserve">DAY 1  —  8 Hours  |  Theory &amp; Foundations</w:t>
            </w:r>
          </w:p>
        </w:tc>
      </w:tr>
      <w:tr>
        <w:trPr>
          <w:tblHeader w:val="false"/>
        </w:trPr>
        <w:tc>
          <w:tcPr>
            <w:tcW w:type="dxa" w:w="3502"/>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8"/>
                <w:szCs w:val="18"/>
              </w:rPr>
              <w:t xml:space="preserve">1. Origins &amp; Philosophy of Pilates</w:t>
            </w:r>
          </w:p>
        </w:tc>
        <w:tc>
          <w:tcPr>
            <w:tcW w:type="dxa" w:w="737"/>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center"/>
            </w:pPr>
            <w:r>
              <w:rPr>
                <w:rFonts w:ascii="Arial" w:cs="Arial" w:eastAsia="Arial" w:hAnsi="Arial"/>
                <w:b w:val="false"/>
                <w:bCs w:val="false"/>
                <w:i w:val="false"/>
                <w:iCs w:val="false"/>
                <w:color w:val="0A0A0A"/>
                <w:sz w:val="18"/>
                <w:szCs w:val="18"/>
              </w:rPr>
              <w:t xml:space="preserve">2</w:t>
            </w:r>
          </w:p>
        </w:tc>
        <w:tc>
          <w:tcPr>
            <w:tcW w:type="dxa" w:w="1290"/>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8"/>
                <w:szCs w:val="18"/>
              </w:rPr>
              <w:t xml:space="preserve">Online</w:t>
            </w:r>
          </w:p>
        </w:tc>
        <w:tc>
          <w:tcPr>
            <w:tcW w:type="dxa" w:w="3687"/>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8"/>
                <w:szCs w:val="18"/>
              </w:rPr>
              <w:t xml:space="preserve">Joseph H. Pilates, Contrology, classical and contemporary lineage</w:t>
            </w:r>
          </w:p>
        </w:tc>
      </w:tr>
      <w:tr>
        <w:trPr>
          <w:tblHeader w:val="false"/>
        </w:trPr>
        <w:tc>
          <w:tcPr>
            <w:tcW w:type="dxa" w:w="3502"/>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8"/>
                <w:szCs w:val="18"/>
              </w:rPr>
              <w:t xml:space="preserve">2A. Functional Anatomy &amp; Physiology</w:t>
            </w:r>
          </w:p>
        </w:tc>
        <w:tc>
          <w:tcPr>
            <w:tcW w:type="dxa" w:w="737"/>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center"/>
            </w:pPr>
            <w:r>
              <w:rPr>
                <w:rFonts w:ascii="Arial" w:cs="Arial" w:eastAsia="Arial" w:hAnsi="Arial"/>
                <w:b w:val="false"/>
                <w:bCs w:val="false"/>
                <w:i w:val="false"/>
                <w:iCs w:val="false"/>
                <w:color w:val="0A0A0A"/>
                <w:sz w:val="18"/>
                <w:szCs w:val="18"/>
              </w:rPr>
              <w:t xml:space="preserve">2</w:t>
            </w:r>
          </w:p>
        </w:tc>
        <w:tc>
          <w:tcPr>
            <w:tcW w:type="dxa" w:w="1290"/>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8"/>
                <w:szCs w:val="18"/>
              </w:rPr>
              <w:t xml:space="preserve">Online</w:t>
            </w:r>
          </w:p>
        </w:tc>
        <w:tc>
          <w:tcPr>
            <w:tcW w:type="dxa" w:w="3687"/>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8"/>
                <w:szCs w:val="18"/>
              </w:rPr>
              <w:t xml:space="preserve">Musculoskeletal system, core muscles, breathing mechanics</w:t>
            </w:r>
          </w:p>
        </w:tc>
      </w:tr>
      <w:tr>
        <w:trPr>
          <w:tblHeader w:val="false"/>
        </w:trPr>
        <w:tc>
          <w:tcPr>
            <w:tcW w:type="dxa" w:w="3502"/>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8"/>
                <w:szCs w:val="18"/>
              </w:rPr>
              <w:t xml:space="preserve">2B. Postural Analysis &amp; Movement Analysis</w:t>
            </w:r>
          </w:p>
        </w:tc>
        <w:tc>
          <w:tcPr>
            <w:tcW w:type="dxa" w:w="737"/>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center"/>
            </w:pPr>
            <w:r>
              <w:rPr>
                <w:rFonts w:ascii="Arial" w:cs="Arial" w:eastAsia="Arial" w:hAnsi="Arial"/>
                <w:b w:val="false"/>
                <w:bCs w:val="false"/>
                <w:i w:val="false"/>
                <w:iCs w:val="false"/>
                <w:color w:val="0A0A0A"/>
                <w:sz w:val="18"/>
                <w:szCs w:val="18"/>
              </w:rPr>
              <w:t xml:space="preserve">4</w:t>
            </w:r>
          </w:p>
        </w:tc>
        <w:tc>
          <w:tcPr>
            <w:tcW w:type="dxa" w:w="1290"/>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8"/>
                <w:szCs w:val="18"/>
              </w:rPr>
              <w:t xml:space="preserve">Live</w:t>
            </w:r>
          </w:p>
        </w:tc>
        <w:tc>
          <w:tcPr>
            <w:tcW w:type="dxa" w:w="3687"/>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8"/>
                <w:szCs w:val="18"/>
              </w:rPr>
              <w:t xml:space="preserve">Static and dynamic assessment frameworks, compensation patterns</w:t>
            </w:r>
          </w:p>
        </w:tc>
      </w:tr>
      <w:tr>
        <w:tc>
          <w:tcPr>
            <w:tcW w:type="dxa" w:w="9216"/>
            <w:gridSpan w:val="4"/>
            <w:tcBorders>
              <w:top w:val="none" w:color="FFFFFF" w:sz="0"/>
              <w:left w:val="none" w:color="FFFFFF" w:sz="0"/>
              <w:bottom w:val="none" w:color="FFFFFF" w:sz="0"/>
              <w:right w:val="none" w:color="FFFFFF" w:sz="0"/>
            </w:tcBorders>
            <w:shd w:fill="2C2C2C" w:val="clear"/>
            <w:tcMar>
              <w:top w:type="dxa" w:w="100"/>
              <w:left w:type="dxa" w:w="130"/>
              <w:bottom w:type="dxa" w:w="100"/>
              <w:right w:type="dxa" w:w="130"/>
            </w:tcMar>
            <w:vAlign w:val="center"/>
          </w:tcPr>
          <w:p>
            <w:pPr>
              <w:keepNext w:val="false"/>
              <w:spacing w:after="0" w:before="0" w:line="276"/>
              <w:jc w:val="left"/>
            </w:pPr>
            <w:r>
              <w:rPr>
                <w:rFonts w:ascii="Arial" w:cs="Arial" w:eastAsia="Arial" w:hAnsi="Arial"/>
                <w:b/>
                <w:bCs/>
                <w:i w:val="false"/>
                <w:iCs w:val="false"/>
                <w:color w:val="FFFFFF"/>
                <w:sz w:val="18"/>
                <w:szCs w:val="18"/>
              </w:rPr>
              <w:t xml:space="preserve">DAY 2  —  8 Hours  |  Methodology, Safety &amp; Scope</w:t>
            </w:r>
          </w:p>
        </w:tc>
      </w:tr>
      <w:tr>
        <w:trPr>
          <w:tblHeader w:val="false"/>
        </w:trPr>
        <w:tc>
          <w:tcPr>
            <w:tcW w:type="dxa" w:w="3502"/>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8"/>
                <w:szCs w:val="18"/>
              </w:rPr>
              <w:t xml:space="preserve">3. Pilates Principles &amp; Movement Foundations</w:t>
            </w:r>
          </w:p>
        </w:tc>
        <w:tc>
          <w:tcPr>
            <w:tcW w:type="dxa" w:w="737"/>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center"/>
            </w:pPr>
            <w:r>
              <w:rPr>
                <w:rFonts w:ascii="Arial" w:cs="Arial" w:eastAsia="Arial" w:hAnsi="Arial"/>
                <w:b w:val="false"/>
                <w:bCs w:val="false"/>
                <w:i w:val="false"/>
                <w:iCs w:val="false"/>
                <w:color w:val="0A0A0A"/>
                <w:sz w:val="18"/>
                <w:szCs w:val="18"/>
              </w:rPr>
              <w:t xml:space="preserve">2</w:t>
            </w:r>
          </w:p>
        </w:tc>
        <w:tc>
          <w:tcPr>
            <w:tcW w:type="dxa" w:w="1290"/>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8"/>
                <w:szCs w:val="18"/>
              </w:rPr>
              <w:t xml:space="preserve">Live</w:t>
            </w:r>
          </w:p>
        </w:tc>
        <w:tc>
          <w:tcPr>
            <w:tcW w:type="dxa" w:w="3687"/>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8"/>
                <w:szCs w:val="18"/>
              </w:rPr>
              <w:t xml:space="preserve">Six classical principles; comparison with contemporary framework</w:t>
            </w:r>
          </w:p>
        </w:tc>
      </w:tr>
      <w:tr>
        <w:trPr>
          <w:tblHeader w:val="false"/>
        </w:trPr>
        <w:tc>
          <w:tcPr>
            <w:tcW w:type="dxa" w:w="3502"/>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8"/>
                <w:szCs w:val="18"/>
              </w:rPr>
              <w:t xml:space="preserve">4. Teaching Methodology &amp; Cueing</w:t>
            </w:r>
          </w:p>
        </w:tc>
        <w:tc>
          <w:tcPr>
            <w:tcW w:type="dxa" w:w="737"/>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center"/>
            </w:pPr>
            <w:r>
              <w:rPr>
                <w:rFonts w:ascii="Arial" w:cs="Arial" w:eastAsia="Arial" w:hAnsi="Arial"/>
                <w:b w:val="false"/>
                <w:bCs w:val="false"/>
                <w:i w:val="false"/>
                <w:iCs w:val="false"/>
                <w:color w:val="0A0A0A"/>
                <w:sz w:val="18"/>
                <w:szCs w:val="18"/>
              </w:rPr>
              <w:t xml:space="preserve">2</w:t>
            </w:r>
          </w:p>
        </w:tc>
        <w:tc>
          <w:tcPr>
            <w:tcW w:type="dxa" w:w="1290"/>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8"/>
                <w:szCs w:val="18"/>
              </w:rPr>
              <w:t xml:space="preserve">Live</w:t>
            </w:r>
          </w:p>
        </w:tc>
        <w:tc>
          <w:tcPr>
            <w:tcW w:type="dxa" w:w="3687"/>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8"/>
                <w:szCs w:val="18"/>
              </w:rPr>
              <w:t xml:space="preserve">Verbal/visual/tactile cueing, corrections, observation, class design</w:t>
            </w:r>
          </w:p>
        </w:tc>
      </w:tr>
      <w:tr>
        <w:trPr>
          <w:tblHeader w:val="false"/>
        </w:trPr>
        <w:tc>
          <w:tcPr>
            <w:tcW w:type="dxa" w:w="3502"/>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8"/>
                <w:szCs w:val="18"/>
              </w:rPr>
              <w:t xml:space="preserve">7. Special Populations</w:t>
            </w:r>
          </w:p>
        </w:tc>
        <w:tc>
          <w:tcPr>
            <w:tcW w:type="dxa" w:w="737"/>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center"/>
            </w:pPr>
            <w:r>
              <w:rPr>
                <w:rFonts w:ascii="Arial" w:cs="Arial" w:eastAsia="Arial" w:hAnsi="Arial"/>
                <w:b w:val="false"/>
                <w:bCs w:val="false"/>
                <w:i w:val="false"/>
                <w:iCs w:val="false"/>
                <w:color w:val="0A0A0A"/>
                <w:sz w:val="18"/>
                <w:szCs w:val="18"/>
              </w:rPr>
              <w:t xml:space="preserve">2</w:t>
            </w:r>
          </w:p>
        </w:tc>
        <w:tc>
          <w:tcPr>
            <w:tcW w:type="dxa" w:w="1290"/>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8"/>
                <w:szCs w:val="18"/>
              </w:rPr>
              <w:t xml:space="preserve">Live</w:t>
            </w:r>
          </w:p>
        </w:tc>
        <w:tc>
          <w:tcPr>
            <w:tcW w:type="dxa" w:w="3687"/>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8"/>
                <w:szCs w:val="18"/>
              </w:rPr>
              <w:t xml:space="preserve">Pregnancy, older adults, chronic conditions, post-rehabilitation</w:t>
            </w:r>
          </w:p>
        </w:tc>
      </w:tr>
      <w:tr>
        <w:trPr>
          <w:tblHeader w:val="false"/>
        </w:trPr>
        <w:tc>
          <w:tcPr>
            <w:tcW w:type="dxa" w:w="3502"/>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8"/>
                <w:szCs w:val="18"/>
              </w:rPr>
              <w:t xml:space="preserve">8. Safety, Scope of Practice &amp; Risk Mgmt</w:t>
            </w:r>
          </w:p>
        </w:tc>
        <w:tc>
          <w:tcPr>
            <w:tcW w:type="dxa" w:w="737"/>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center"/>
            </w:pPr>
            <w:r>
              <w:rPr>
                <w:rFonts w:ascii="Arial" w:cs="Arial" w:eastAsia="Arial" w:hAnsi="Arial"/>
                <w:b w:val="false"/>
                <w:bCs w:val="false"/>
                <w:i w:val="false"/>
                <w:iCs w:val="false"/>
                <w:color w:val="0A0A0A"/>
                <w:sz w:val="18"/>
                <w:szCs w:val="18"/>
              </w:rPr>
              <w:t xml:space="preserve">1</w:t>
            </w:r>
          </w:p>
        </w:tc>
        <w:tc>
          <w:tcPr>
            <w:tcW w:type="dxa" w:w="1290"/>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8"/>
                <w:szCs w:val="18"/>
              </w:rPr>
              <w:t xml:space="preserve">Online</w:t>
            </w:r>
          </w:p>
        </w:tc>
        <w:tc>
          <w:tcPr>
            <w:tcW w:type="dxa" w:w="3687"/>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8"/>
                <w:szCs w:val="18"/>
              </w:rPr>
              <w:t xml:space="preserve">Screening, legal scope of practice, risk mitigation</w:t>
            </w:r>
          </w:p>
        </w:tc>
      </w:tr>
      <w:tr>
        <w:trPr>
          <w:tblHeader w:val="false"/>
        </w:trPr>
        <w:tc>
          <w:tcPr>
            <w:tcW w:type="dxa" w:w="3502"/>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8"/>
                <w:szCs w:val="18"/>
              </w:rPr>
              <w:t xml:space="preserve">9. Business Practices &amp; Professional Networking</w:t>
            </w:r>
          </w:p>
        </w:tc>
        <w:tc>
          <w:tcPr>
            <w:tcW w:type="dxa" w:w="737"/>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center"/>
            </w:pPr>
            <w:r>
              <w:rPr>
                <w:rFonts w:ascii="Arial" w:cs="Arial" w:eastAsia="Arial" w:hAnsi="Arial"/>
                <w:b w:val="false"/>
                <w:bCs w:val="false"/>
                <w:i w:val="false"/>
                <w:iCs w:val="false"/>
                <w:color w:val="0A0A0A"/>
                <w:sz w:val="18"/>
                <w:szCs w:val="18"/>
              </w:rPr>
              <w:t xml:space="preserve">1</w:t>
            </w:r>
          </w:p>
        </w:tc>
        <w:tc>
          <w:tcPr>
            <w:tcW w:type="dxa" w:w="1290"/>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8"/>
                <w:szCs w:val="18"/>
              </w:rPr>
              <w:t xml:space="preserve">Online</w:t>
            </w:r>
          </w:p>
        </w:tc>
        <w:tc>
          <w:tcPr>
            <w:tcW w:type="dxa" w:w="3687"/>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8"/>
                <w:szCs w:val="18"/>
              </w:rPr>
              <w:t xml:space="preserve">Ethics, studio operations, communication, professional growth</w:t>
            </w:r>
          </w:p>
        </w:tc>
      </w:tr>
      <w:tr>
        <w:tc>
          <w:tcPr>
            <w:tcW w:type="dxa" w:w="9216"/>
            <w:gridSpan w:val="4"/>
            <w:tcBorders>
              <w:top w:val="none" w:color="FFFFFF" w:sz="0"/>
              <w:left w:val="none" w:color="FFFFFF" w:sz="0"/>
              <w:bottom w:val="none" w:color="FFFFFF" w:sz="0"/>
              <w:right w:val="none" w:color="FFFFFF" w:sz="0"/>
            </w:tcBorders>
            <w:shd w:fill="2C2C2C" w:val="clear"/>
            <w:tcMar>
              <w:top w:type="dxa" w:w="100"/>
              <w:left w:type="dxa" w:w="130"/>
              <w:bottom w:type="dxa" w:w="100"/>
              <w:right w:type="dxa" w:w="130"/>
            </w:tcMar>
            <w:vAlign w:val="center"/>
          </w:tcPr>
          <w:p>
            <w:pPr>
              <w:keepNext w:val="false"/>
              <w:spacing w:after="0" w:before="0" w:line="276"/>
              <w:jc w:val="left"/>
            </w:pPr>
            <w:r>
              <w:rPr>
                <w:rFonts w:ascii="Arial" w:cs="Arial" w:eastAsia="Arial" w:hAnsi="Arial"/>
                <w:b/>
                <w:bCs/>
                <w:i w:val="false"/>
                <w:iCs w:val="false"/>
                <w:color w:val="FFFFFF"/>
                <w:sz w:val="18"/>
                <w:szCs w:val="18"/>
              </w:rPr>
              <w:t xml:space="preserve">DAYS 3–4  —  17 Hours  |  Mat Repertoire: Foundations</w:t>
            </w:r>
          </w:p>
        </w:tc>
      </w:tr>
      <w:tr>
        <w:trPr>
          <w:tblHeader w:val="false"/>
        </w:trPr>
        <w:tc>
          <w:tcPr>
            <w:tcW w:type="dxa" w:w="3502"/>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8"/>
                <w:szCs w:val="18"/>
              </w:rPr>
              <w:t xml:space="preserve">5. Mat Repertoire Foundations — Exercises 1–12</w:t>
            </w:r>
          </w:p>
        </w:tc>
        <w:tc>
          <w:tcPr>
            <w:tcW w:type="dxa" w:w="737"/>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center"/>
            </w:pPr>
            <w:r>
              <w:rPr>
                <w:rFonts w:ascii="Arial" w:cs="Arial" w:eastAsia="Arial" w:hAnsi="Arial"/>
                <w:b w:val="false"/>
                <w:bCs w:val="false"/>
                <w:i w:val="false"/>
                <w:iCs w:val="false"/>
                <w:color w:val="0A0A0A"/>
                <w:sz w:val="18"/>
                <w:szCs w:val="18"/>
              </w:rPr>
              <w:t xml:space="preserve">17</w:t>
            </w:r>
          </w:p>
        </w:tc>
        <w:tc>
          <w:tcPr>
            <w:tcW w:type="dxa" w:w="1290"/>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8"/>
                <w:szCs w:val="18"/>
              </w:rPr>
              <w:t xml:space="preserve">Live</w:t>
            </w:r>
          </w:p>
        </w:tc>
        <w:tc>
          <w:tcPr>
            <w:tcW w:type="dxa" w:w="3687"/>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8"/>
                <w:szCs w:val="18"/>
              </w:rPr>
              <w:t xml:space="preserve">Exercise analysis, setup, verbal cueing, modifications, progressions</w:t>
            </w:r>
          </w:p>
        </w:tc>
      </w:tr>
      <w:tr>
        <w:tc>
          <w:tcPr>
            <w:tcW w:type="dxa" w:w="9216"/>
            <w:gridSpan w:val="4"/>
            <w:tcBorders>
              <w:top w:val="none" w:color="FFFFFF" w:sz="0"/>
              <w:left w:val="none" w:color="FFFFFF" w:sz="0"/>
              <w:bottom w:val="none" w:color="FFFFFF" w:sz="0"/>
              <w:right w:val="none" w:color="FFFFFF" w:sz="0"/>
            </w:tcBorders>
            <w:shd w:fill="2C2C2C" w:val="clear"/>
            <w:tcMar>
              <w:top w:type="dxa" w:w="100"/>
              <w:left w:type="dxa" w:w="130"/>
              <w:bottom w:type="dxa" w:w="100"/>
              <w:right w:type="dxa" w:w="130"/>
            </w:tcMar>
            <w:vAlign w:val="center"/>
          </w:tcPr>
          <w:p>
            <w:pPr>
              <w:keepNext w:val="false"/>
              <w:spacing w:after="0" w:before="0" w:line="276"/>
              <w:jc w:val="left"/>
            </w:pPr>
            <w:r>
              <w:rPr>
                <w:rFonts w:ascii="Arial" w:cs="Arial" w:eastAsia="Arial" w:hAnsi="Arial"/>
                <w:b/>
                <w:bCs/>
                <w:i w:val="false"/>
                <w:iCs w:val="false"/>
                <w:color w:val="FFFFFF"/>
                <w:sz w:val="18"/>
                <w:szCs w:val="18"/>
              </w:rPr>
              <w:t xml:space="preserve">DAYS 5–6  —  17 Hours  |  Mat Repertoire: Intermediate &amp; Advanced</w:t>
            </w:r>
          </w:p>
        </w:tc>
      </w:tr>
      <w:tr>
        <w:trPr>
          <w:tblHeader w:val="false"/>
        </w:trPr>
        <w:tc>
          <w:tcPr>
            <w:tcW w:type="dxa" w:w="3502"/>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8"/>
                <w:szCs w:val="18"/>
              </w:rPr>
              <w:t xml:space="preserve">6. Intermediate &amp; Advanced Repertoire + Magic Circle + Small Props (Exercises 13–34)</w:t>
            </w:r>
          </w:p>
        </w:tc>
        <w:tc>
          <w:tcPr>
            <w:tcW w:type="dxa" w:w="737"/>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center"/>
            </w:pPr>
            <w:r>
              <w:rPr>
                <w:rFonts w:ascii="Arial" w:cs="Arial" w:eastAsia="Arial" w:hAnsi="Arial"/>
                <w:b w:val="false"/>
                <w:bCs w:val="false"/>
                <w:i w:val="false"/>
                <w:iCs w:val="false"/>
                <w:color w:val="0A0A0A"/>
                <w:sz w:val="18"/>
                <w:szCs w:val="18"/>
              </w:rPr>
              <w:t xml:space="preserve">17</w:t>
            </w:r>
          </w:p>
        </w:tc>
        <w:tc>
          <w:tcPr>
            <w:tcW w:type="dxa" w:w="1290"/>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8"/>
                <w:szCs w:val="18"/>
              </w:rPr>
              <w:t xml:space="preserve">Live</w:t>
            </w:r>
          </w:p>
        </w:tc>
        <w:tc>
          <w:tcPr>
            <w:tcW w:type="dxa" w:w="3687"/>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8"/>
                <w:szCs w:val="18"/>
              </w:rPr>
              <w:t xml:space="preserve">Full intermediate/advanced repertoire, Romana additions, prop integration</w:t>
            </w:r>
          </w:p>
        </w:tc>
      </w:tr>
      <w:tr>
        <w:tc>
          <w:tcPr>
            <w:tcW w:type="dxa" w:w="3502"/>
            <w:tcBorders>
              <w:top w:val="single" w:color="0A0A0A" w:sz="10"/>
              <w:left w:val="none" w:color="FFFFFF" w:sz="0"/>
              <w:bottom w:val="none" w:color="FFFFFF" w:sz="0"/>
              <w:right w:val="none" w:color="FFFFFF" w:sz="0"/>
            </w:tcBorders>
            <w:shd w:fill="F2F2F2" w:val="clear"/>
            <w:tcMar>
              <w:top w:type="dxa" w:w="90"/>
              <w:left w:type="dxa" w:w="130"/>
              <w:bottom w:type="dxa" w:w="90"/>
              <w:right w:type="dxa" w:w="130"/>
            </w:tcMar>
          </w:tcPr>
          <w:p>
            <w:pPr>
              <w:keepNext w:val="false"/>
              <w:spacing w:after="0" w:before="0" w:line="276"/>
              <w:jc w:val="left"/>
            </w:pPr>
            <w:r>
              <w:rPr>
                <w:rFonts w:ascii="Arial" w:cs="Arial" w:eastAsia="Arial" w:hAnsi="Arial"/>
                <w:b/>
                <w:bCs/>
                <w:i w:val="false"/>
                <w:iCs w:val="false"/>
                <w:color w:val="0A0A0A"/>
                <w:sz w:val="19"/>
                <w:szCs w:val="19"/>
              </w:rPr>
              <w:t xml:space="preserve">TOTAL CLASSROOM HOURS (QTT Delivered)</w:t>
            </w:r>
          </w:p>
        </w:tc>
        <w:tc>
          <w:tcPr>
            <w:tcW w:type="dxa" w:w="737"/>
            <w:tcBorders>
              <w:top w:val="single" w:color="0A0A0A" w:sz="10"/>
              <w:left w:val="none" w:color="FFFFFF" w:sz="0"/>
              <w:bottom w:val="none" w:color="FFFFFF" w:sz="0"/>
              <w:right w:val="none" w:color="FFFFFF" w:sz="0"/>
            </w:tcBorders>
            <w:shd w:fill="F2F2F2" w:val="clear"/>
            <w:tcMar>
              <w:top w:type="dxa" w:w="90"/>
              <w:left w:type="dxa" w:w="130"/>
              <w:bottom w:type="dxa" w:w="90"/>
              <w:right w:type="dxa" w:w="130"/>
            </w:tcMar>
          </w:tcPr>
          <w:p>
            <w:pPr>
              <w:keepNext w:val="false"/>
              <w:spacing w:after="0" w:before="0" w:line="276"/>
              <w:jc w:val="center"/>
            </w:pPr>
            <w:r>
              <w:rPr>
                <w:rFonts w:ascii="Arial" w:cs="Arial" w:eastAsia="Arial" w:hAnsi="Arial"/>
                <w:b/>
                <w:bCs/>
                <w:i w:val="false"/>
                <w:iCs w:val="false"/>
                <w:color w:val="0A0A0A"/>
                <w:sz w:val="19"/>
                <w:szCs w:val="19"/>
              </w:rPr>
              <w:t xml:space="preserve">50</w:t>
            </w:r>
          </w:p>
        </w:tc>
        <w:tc>
          <w:tcPr>
            <w:tcW w:type="dxa" w:w="4977"/>
            <w:gridSpan w:val="2"/>
            <w:tcBorders>
              <w:top w:val="single" w:color="0A0A0A" w:sz="10"/>
              <w:left w:val="none" w:color="FFFFFF" w:sz="0"/>
              <w:bottom w:val="none" w:color="FFFFFF" w:sz="0"/>
              <w:right w:val="none" w:color="FFFFFF" w:sz="0"/>
            </w:tcBorders>
            <w:shd w:fill="F2F2F2" w:val="clear"/>
            <w:tcMar>
              <w:top w:type="dxa" w:w="90"/>
              <w:left w:type="dxa" w:w="130"/>
              <w:bottom w:type="dxa" w:w="90"/>
              <w:right w:type="dxa" w:w="130"/>
            </w:tcMar>
          </w:tcPr>
          <w:p>
            <w:pPr>
              <w:keepNext w:val="false"/>
              <w:spacing w:after="0" w:before="0" w:line="276"/>
              <w:jc w:val="left"/>
            </w:pPr>
            <w:r>
              <w:rPr>
                <w:rFonts w:ascii="Arial" w:cs="Arial" w:eastAsia="Arial" w:hAnsi="Arial"/>
                <w:b w:val="false"/>
                <w:bCs w:val="false"/>
                <w:i/>
                <w:iCs/>
                <w:color w:val="444444"/>
                <w:sz w:val="17"/>
                <w:szCs w:val="17"/>
              </w:rPr>
              <w:t xml:space="preserve">Theory: 16 hrs  |  Exercise Repertoire: 34 hrs</w:t>
            </w:r>
          </w:p>
        </w:tc>
      </w:tr>
    </w:tbl>
    <w:p>
      <w:pPr>
        <w:keepNext w:val="false"/>
        <w:spacing w:after="80" w:before="0" w:line="240"/>
        <w:jc w:val="left"/>
      </w:pPr>
      <w:r>
        <w:rPr>
          <w:rFonts w:ascii="Arial" w:cs="Arial" w:eastAsia="Arial" w:hAnsi="Arial"/>
          <w:b w:val="false"/>
          <w:bCs w:val="false"/>
          <w:i w:val="false"/>
          <w:iCs w:val="false"/>
          <w:color w:val="0A0A0A"/>
          <w:sz w:val="20"/>
          <w:szCs w:val="20"/>
        </w:rPr>
        <w:t xml:space="preserve"/>
      </w:r>
    </w:p>
    <w:p>
      <w:pPr>
        <w:keepNext/>
        <w:spacing w:after="60" w:before="160" w:line="276"/>
        <w:jc w:val="left"/>
      </w:pPr>
      <w:r>
        <w:rPr>
          <w:rFonts w:ascii="Arial" w:cs="Arial" w:eastAsia="Arial" w:hAnsi="Arial"/>
          <w:b/>
          <w:bCs/>
          <w:i w:val="false"/>
          <w:iCs w:val="false"/>
          <w:color w:val="0A0A0A"/>
          <w:sz w:val="20"/>
          <w:szCs w:val="20"/>
        </w:rPr>
        <w:t xml:space="preserve">Component Definitions</w:t>
      </w:r>
    </w:p>
    <w:p>
      <w:pPr>
        <w:keepNext w:val="false"/>
        <w:spacing w:after="100" w:before="0" w:line="290"/>
        <w:jc w:val="both"/>
      </w:pPr>
      <w:r>
        <w:rPr>
          <w:rFonts w:ascii="Arial" w:cs="Arial" w:eastAsia="Arial" w:hAnsi="Arial"/>
          <w:b w:val="false"/>
          <w:bCs w:val="false"/>
          <w:i w:val="false"/>
          <w:iCs w:val="false"/>
          <w:color w:val="0A0A0A"/>
          <w:sz w:val="19"/>
          <w:szCs w:val="19"/>
        </w:rPr>
        <w:t xml:space="preserve"/>
      </w:r>
      <w:r>
        <w:rPr>
          <w:rFonts w:ascii="Arial" w:cs="Arial" w:eastAsia="Arial" w:hAnsi="Arial"/>
          <w:b/>
          <w:bCs/>
          <w:i w:val="false"/>
          <w:iCs w:val="false"/>
          <w:color w:val="0A0A0A"/>
          <w:sz w:val="19"/>
          <w:szCs w:val="19"/>
        </w:rPr>
        <w:t xml:space="preserve">Lecture &amp; Instruction (50 hrs)</w:t>
      </w:r>
      <w:r>
        <w:rPr>
          <w:rFonts w:ascii="Arial" w:cs="Arial" w:eastAsia="Arial" w:hAnsi="Arial"/>
          <w:b w:val="false"/>
          <w:bCs w:val="false"/>
          <w:i w:val="false"/>
          <w:iCs w:val="false"/>
          <w:color w:val="0A0A0A"/>
          <w:sz w:val="19"/>
          <w:szCs w:val="19"/>
        </w:rPr>
        <w:t xml:space="preserve"> — Formal QTT-delivered instruction covering Pilates history and philosophy, anatomy, postural analysis, principles and methodology, teaching cueing, special populations, safety and scope of practice, business practices, and the full Mat repertoire from foundational through advanced levels including small props.</w:t>
      </w:r>
    </w:p>
    <w:p>
      <w:pPr>
        <w:keepNext w:val="false"/>
        <w:spacing w:after="100" w:before="0" w:line="290"/>
        <w:jc w:val="both"/>
      </w:pPr>
      <w:r>
        <w:rPr>
          <w:rFonts w:ascii="Arial" w:cs="Arial" w:eastAsia="Arial" w:hAnsi="Arial"/>
          <w:b w:val="false"/>
          <w:bCs w:val="false"/>
          <w:i w:val="false"/>
          <w:iCs w:val="false"/>
          <w:color w:val="0A0A0A"/>
          <w:sz w:val="19"/>
          <w:szCs w:val="19"/>
        </w:rPr>
        <w:t xml:space="preserve"/>
      </w:r>
      <w:r>
        <w:rPr>
          <w:rFonts w:ascii="Arial" w:cs="Arial" w:eastAsia="Arial" w:hAnsi="Arial"/>
          <w:b/>
          <w:bCs/>
          <w:i w:val="false"/>
          <w:iCs w:val="false"/>
          <w:color w:val="0A0A0A"/>
          <w:sz w:val="19"/>
          <w:szCs w:val="19"/>
        </w:rPr>
        <w:t xml:space="preserve">Student Observation (30 hrs)</w:t>
      </w:r>
      <w:r>
        <w:rPr>
          <w:rFonts w:ascii="Arial" w:cs="Arial" w:eastAsia="Arial" w:hAnsi="Arial"/>
          <w:b w:val="false"/>
          <w:bCs w:val="false"/>
          <w:i w:val="false"/>
          <w:iCs w:val="false"/>
          <w:color w:val="0A0A0A"/>
          <w:sz w:val="19"/>
          <w:szCs w:val="19"/>
        </w:rPr>
        <w:t xml:space="preserve"> — Structured observation of approved instructors and QTTs delivering Mat classes, group sessions, and private instruction. All observations logged in the NAPI Observation Log.</w:t>
      </w:r>
    </w:p>
    <w:p>
      <w:pPr>
        <w:keepNext w:val="false"/>
        <w:spacing w:after="100" w:before="0" w:line="290"/>
        <w:jc w:val="both"/>
      </w:pPr>
      <w:r>
        <w:rPr>
          <w:rFonts w:ascii="Arial" w:cs="Arial" w:eastAsia="Arial" w:hAnsi="Arial"/>
          <w:b w:val="false"/>
          <w:bCs w:val="false"/>
          <w:i w:val="false"/>
          <w:iCs w:val="false"/>
          <w:color w:val="0A0A0A"/>
          <w:sz w:val="19"/>
          <w:szCs w:val="19"/>
        </w:rPr>
        <w:t xml:space="preserve"/>
      </w:r>
      <w:r>
        <w:rPr>
          <w:rFonts w:ascii="Arial" w:cs="Arial" w:eastAsia="Arial" w:hAnsi="Arial"/>
          <w:b/>
          <w:bCs/>
          <w:i w:val="false"/>
          <w:iCs w:val="false"/>
          <w:color w:val="0A0A0A"/>
          <w:sz w:val="19"/>
          <w:szCs w:val="19"/>
        </w:rPr>
        <w:t xml:space="preserve">Self-Practice (30 hrs)</w:t>
      </w:r>
      <w:r>
        <w:rPr>
          <w:rFonts w:ascii="Arial" w:cs="Arial" w:eastAsia="Arial" w:hAnsi="Arial"/>
          <w:b w:val="false"/>
          <w:bCs w:val="false"/>
          <w:i w:val="false"/>
          <w:iCs w:val="false"/>
          <w:color w:val="0A0A0A"/>
          <w:sz w:val="19"/>
          <w:szCs w:val="19"/>
        </w:rPr>
        <w:t xml:space="preserve"> — Supervised or documented independent Mat practice developing personal repertoire fluency, kinesthetic awareness, and movement understanding.</w:t>
      </w:r>
    </w:p>
    <w:p>
      <w:pPr>
        <w:keepNext w:val="false"/>
        <w:spacing w:after="100" w:before="0" w:line="290"/>
        <w:jc w:val="both"/>
      </w:pPr>
      <w:r>
        <w:rPr>
          <w:rFonts w:ascii="Arial" w:cs="Arial" w:eastAsia="Arial" w:hAnsi="Arial"/>
          <w:b w:val="false"/>
          <w:bCs w:val="false"/>
          <w:i w:val="false"/>
          <w:iCs w:val="false"/>
          <w:color w:val="0A0A0A"/>
          <w:sz w:val="19"/>
          <w:szCs w:val="19"/>
        </w:rPr>
        <w:t xml:space="preserve"/>
      </w:r>
      <w:r>
        <w:rPr>
          <w:rFonts w:ascii="Arial" w:cs="Arial" w:eastAsia="Arial" w:hAnsi="Arial"/>
          <w:b/>
          <w:bCs/>
          <w:i w:val="false"/>
          <w:iCs w:val="false"/>
          <w:color w:val="0A0A0A"/>
          <w:sz w:val="19"/>
          <w:szCs w:val="19"/>
        </w:rPr>
        <w:t xml:space="preserve">Student Teaching (30 hrs)</w:t>
      </w:r>
      <w:r>
        <w:rPr>
          <w:rFonts w:ascii="Arial" w:cs="Arial" w:eastAsia="Arial" w:hAnsi="Arial"/>
          <w:b w:val="false"/>
          <w:bCs w:val="false"/>
          <w:i w:val="false"/>
          <w:iCs w:val="false"/>
          <w:color w:val="0A0A0A"/>
          <w:sz w:val="19"/>
          <w:szCs w:val="19"/>
        </w:rPr>
        <w:t xml:space="preserve"> — Candidate-led instruction of peers, volunteer clients, and practice clients with session plans and teaching logs required throughout.</w:t>
      </w:r>
    </w:p>
    <w:p>
      <w:pPr>
        <w:keepNext w:val="false"/>
        <w:spacing w:after="100" w:before="0" w:line="290"/>
        <w:jc w:val="both"/>
      </w:pPr>
      <w:r>
        <w:rPr>
          <w:rFonts w:ascii="Arial" w:cs="Arial" w:eastAsia="Arial" w:hAnsi="Arial"/>
          <w:b w:val="false"/>
          <w:bCs w:val="false"/>
          <w:i w:val="false"/>
          <w:iCs w:val="false"/>
          <w:color w:val="0A0A0A"/>
          <w:sz w:val="19"/>
          <w:szCs w:val="19"/>
        </w:rPr>
        <w:t xml:space="preserve"/>
      </w:r>
      <w:r>
        <w:rPr>
          <w:rFonts w:ascii="Arial" w:cs="Arial" w:eastAsia="Arial" w:hAnsi="Arial"/>
          <w:b/>
          <w:bCs/>
          <w:i w:val="false"/>
          <w:iCs w:val="false"/>
          <w:color w:val="0A0A0A"/>
          <w:sz w:val="19"/>
          <w:szCs w:val="19"/>
        </w:rPr>
        <w:t xml:space="preserve">Assisted Teaching with QTT (10 hrs)</w:t>
      </w:r>
      <w:r>
        <w:rPr>
          <w:rFonts w:ascii="Arial" w:cs="Arial" w:eastAsia="Arial" w:hAnsi="Arial"/>
          <w:b w:val="false"/>
          <w:bCs w:val="false"/>
          <w:i w:val="false"/>
          <w:iCs w:val="false"/>
          <w:color w:val="0A0A0A"/>
          <w:sz w:val="19"/>
          <w:szCs w:val="19"/>
        </w:rPr>
        <w:t xml:space="preserve"> — Candidate assists an active QTT with class setup, cueing support, spotting, and client management.</w:t>
      </w:r>
    </w:p>
    <w:p>
      <w:pPr>
        <w:keepNext w:val="false"/>
        <w:spacing w:after="100" w:before="0" w:line="290"/>
        <w:jc w:val="both"/>
      </w:pPr>
      <w:r>
        <w:rPr>
          <w:rFonts w:ascii="Arial" w:cs="Arial" w:eastAsia="Arial" w:hAnsi="Arial"/>
          <w:b w:val="false"/>
          <w:bCs w:val="false"/>
          <w:i w:val="false"/>
          <w:iCs w:val="false"/>
          <w:color w:val="0A0A0A"/>
          <w:sz w:val="19"/>
          <w:szCs w:val="19"/>
        </w:rPr>
        <w:t xml:space="preserve"/>
      </w:r>
      <w:r>
        <w:rPr>
          <w:rFonts w:ascii="Arial" w:cs="Arial" w:eastAsia="Arial" w:hAnsi="Arial"/>
          <w:b/>
          <w:bCs/>
          <w:i w:val="false"/>
          <w:iCs w:val="false"/>
          <w:color w:val="0A0A0A"/>
          <w:sz w:val="19"/>
          <w:szCs w:val="19"/>
        </w:rPr>
        <w:t xml:space="preserve">Private or Group Sessions with QTT (20 hrs)</w:t>
      </w:r>
      <w:r>
        <w:rPr>
          <w:rFonts w:ascii="Arial" w:cs="Arial" w:eastAsia="Arial" w:hAnsi="Arial"/>
          <w:b w:val="false"/>
          <w:bCs w:val="false"/>
          <w:i w:val="false"/>
          <w:iCs w:val="false"/>
          <w:color w:val="0A0A0A"/>
          <w:sz w:val="19"/>
          <w:szCs w:val="19"/>
        </w:rPr>
        <w:t xml:space="preserve"> — Candidate receives direct instruction from a QTT in private or group format for personal technique refinement.</w:t>
      </w:r>
    </w:p>
    <w:p>
      <w:pPr>
        <w:keepNext w:val="false"/>
        <w:spacing w:after="100" w:before="0" w:line="290"/>
        <w:jc w:val="both"/>
      </w:pPr>
      <w:r>
        <w:rPr>
          <w:rFonts w:ascii="Arial" w:cs="Arial" w:eastAsia="Arial" w:hAnsi="Arial"/>
          <w:b w:val="false"/>
          <w:bCs w:val="false"/>
          <w:i w:val="false"/>
          <w:iCs w:val="false"/>
          <w:color w:val="0A0A0A"/>
          <w:sz w:val="19"/>
          <w:szCs w:val="19"/>
        </w:rPr>
        <w:t xml:space="preserve"/>
      </w:r>
      <w:r>
        <w:rPr>
          <w:rFonts w:ascii="Arial" w:cs="Arial" w:eastAsia="Arial" w:hAnsi="Arial"/>
          <w:b/>
          <w:bCs/>
          <w:i w:val="false"/>
          <w:iCs w:val="false"/>
          <w:color w:val="0A0A0A"/>
          <w:sz w:val="19"/>
          <w:szCs w:val="19"/>
        </w:rPr>
        <w:t xml:space="preserve">QTT Observation of Student Teaching (5 hrs)</w:t>
      </w:r>
      <w:r>
        <w:rPr>
          <w:rFonts w:ascii="Arial" w:cs="Arial" w:eastAsia="Arial" w:hAnsi="Arial"/>
          <w:b w:val="false"/>
          <w:bCs w:val="false"/>
          <w:i w:val="false"/>
          <w:iCs w:val="false"/>
          <w:color w:val="0A0A0A"/>
          <w:sz w:val="19"/>
          <w:szCs w:val="19"/>
        </w:rPr>
        <w:t xml:space="preserve"> — Formal supervised assessment: live teaching observed by QTT with structured feedback and competency sign-off.</w:t>
      </w:r>
    </w:p>
    <w:p>
      <w:pPr>
        <w:keepNext w:val="false"/>
        <w:spacing w:after="60" w:before="240" w:line="276"/>
        <w:jc w:val="left"/>
      </w:pPr>
      <w:r>
        <w:rPr>
          <w:rFonts w:ascii="Arial" w:cs="Arial" w:eastAsia="Arial" w:hAnsi="Arial"/>
          <w:b w:val="false"/>
          <w:bCs w:val="false"/>
          <w:i w:val="false"/>
          <w:iCs w:val="false"/>
          <w:color w:val="888888"/>
          <w:sz w:val="16"/>
          <w:szCs w:val="16"/>
        </w:rPr>
        <w:t xml:space="preserve">IV</w:t>
      </w:r>
    </w:p>
    <w:p>
      <w:pPr>
        <w:keepNext/>
        <w:pBdr>
          <w:bottom w:val="single" w:color="0A0A0A" w:sz="18" w:space="1"/>
        </w:pBdr>
        <w:spacing w:after="60" w:before="0" w:line="276"/>
        <w:jc w:val="left"/>
      </w:pPr>
      <w:r>
        <w:rPr>
          <w:rFonts w:ascii="Arial" w:cs="Arial" w:eastAsia="Arial" w:hAnsi="Arial"/>
          <w:b w:val="false"/>
          <w:bCs w:val="false"/>
          <w:i w:val="false"/>
          <w:iCs w:val="false"/>
          <w:color w:val="0A0A0A"/>
          <w:sz w:val="20"/>
          <w:szCs w:val="20"/>
        </w:rPr>
        <w:t xml:space="preserve"/>
      </w:r>
    </w:p>
    <w:p>
      <w:pPr>
        <w:keepNext/>
        <w:spacing w:after="100" w:before="0" w:line="276"/>
        <w:jc w:val="left"/>
      </w:pPr>
      <w:r>
        <w:rPr>
          <w:rFonts w:ascii="Arial" w:cs="Arial" w:eastAsia="Arial" w:hAnsi="Arial"/>
          <w:b/>
          <w:bCs/>
          <w:i w:val="false"/>
          <w:iCs w:val="false"/>
          <w:color w:val="0A0A0A"/>
          <w:sz w:val="28"/>
          <w:szCs w:val="28"/>
        </w:rPr>
        <w:t xml:space="preserve">Observation Standards</w:t>
      </w:r>
    </w:p>
    <w:p>
      <w:pPr>
        <w:keepNext w:val="false"/>
        <w:spacing w:after="100" w:before="0" w:line="290"/>
        <w:jc w:val="both"/>
      </w:pPr>
      <w:r>
        <w:rPr>
          <w:rFonts w:ascii="Arial" w:cs="Arial" w:eastAsia="Arial" w:hAnsi="Arial"/>
          <w:b w:val="false"/>
          <w:bCs w:val="false"/>
          <w:i w:val="false"/>
          <w:iCs w:val="false"/>
          <w:color w:val="0A0A0A"/>
          <w:sz w:val="19"/>
          <w:szCs w:val="19"/>
        </w:rPr>
        <w:t xml:space="preserve">Observation is a structured, analytical component of the program — not a passive activity. Candidates develop professional judgment, teaching awareness, and movement literacy through deliberate, documented observation.</w:t>
      </w:r>
    </w:p>
    <w:p>
      <w:pPr>
        <w:keepNext/>
        <w:spacing w:after="60" w:before="160" w:line="276"/>
        <w:jc w:val="left"/>
      </w:pPr>
      <w:r>
        <w:rPr>
          <w:rFonts w:ascii="Arial" w:cs="Arial" w:eastAsia="Arial" w:hAnsi="Arial"/>
          <w:b/>
          <w:bCs/>
          <w:i w:val="false"/>
          <w:iCs w:val="false"/>
          <w:color w:val="0A0A0A"/>
          <w:sz w:val="20"/>
          <w:szCs w:val="20"/>
        </w:rPr>
        <w:t xml:space="preserve">Requirements</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Minimum 30 observation hours completed and logged</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Observations conducted with approved instructors and QTTs only</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Must include both group Mat classes and private or semi-private settings</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All sessions recorded in the official NAPI Observation Log</w:t>
      </w:r>
    </w:p>
    <w:p>
      <w:pPr>
        <w:keepNext/>
        <w:spacing w:after="60" w:before="160" w:line="276"/>
        <w:jc w:val="left"/>
      </w:pPr>
      <w:r>
        <w:rPr>
          <w:rFonts w:ascii="Arial" w:cs="Arial" w:eastAsia="Arial" w:hAnsi="Arial"/>
          <w:b/>
          <w:bCs/>
          <w:i w:val="false"/>
          <w:iCs w:val="false"/>
          <w:color w:val="0A0A0A"/>
          <w:sz w:val="20"/>
          <w:szCs w:val="20"/>
        </w:rPr>
        <w:t xml:space="preserve">Observation Outcomes</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Movement pattern recognition and quality assessment</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Cueing strategy analysis across verbal, tactile, and visual modes</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Understanding of class structure, pacing, and participant management</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Identification of safety protocols and contraindication management in practice</w:t>
      </w:r>
    </w:p>
    <w:p>
      <w:pPr>
        <w:keepNext w:val="false"/>
        <w:spacing w:after="60" w:before="240" w:line="276"/>
        <w:jc w:val="left"/>
      </w:pPr>
      <w:r>
        <w:rPr>
          <w:rFonts w:ascii="Arial" w:cs="Arial" w:eastAsia="Arial" w:hAnsi="Arial"/>
          <w:b w:val="false"/>
          <w:bCs w:val="false"/>
          <w:i w:val="false"/>
          <w:iCs w:val="false"/>
          <w:color w:val="888888"/>
          <w:sz w:val="16"/>
          <w:szCs w:val="16"/>
        </w:rPr>
        <w:t xml:space="preserve">V</w:t>
      </w:r>
    </w:p>
    <w:p>
      <w:pPr>
        <w:keepNext/>
        <w:pBdr>
          <w:bottom w:val="single" w:color="0A0A0A" w:sz="18" w:space="1"/>
        </w:pBdr>
        <w:spacing w:after="60" w:before="0" w:line="276"/>
        <w:jc w:val="left"/>
      </w:pPr>
      <w:r>
        <w:rPr>
          <w:rFonts w:ascii="Arial" w:cs="Arial" w:eastAsia="Arial" w:hAnsi="Arial"/>
          <w:b w:val="false"/>
          <w:bCs w:val="false"/>
          <w:i w:val="false"/>
          <w:iCs w:val="false"/>
          <w:color w:val="0A0A0A"/>
          <w:sz w:val="20"/>
          <w:szCs w:val="20"/>
        </w:rPr>
        <w:t xml:space="preserve"/>
      </w:r>
    </w:p>
    <w:p>
      <w:pPr>
        <w:keepNext/>
        <w:spacing w:after="100" w:before="0" w:line="276"/>
        <w:jc w:val="left"/>
      </w:pPr>
      <w:r>
        <w:rPr>
          <w:rFonts w:ascii="Arial" w:cs="Arial" w:eastAsia="Arial" w:hAnsi="Arial"/>
          <w:b/>
          <w:bCs/>
          <w:i w:val="false"/>
          <w:iCs w:val="false"/>
          <w:color w:val="0A0A0A"/>
          <w:sz w:val="28"/>
          <w:szCs w:val="28"/>
        </w:rPr>
        <w:t xml:space="preserve">Practice Teaching Standards</w:t>
      </w:r>
    </w:p>
    <w:p>
      <w:pPr>
        <w:keepNext w:val="false"/>
        <w:spacing w:after="100" w:before="0" w:line="290"/>
        <w:jc w:val="both"/>
      </w:pPr>
      <w:r>
        <w:rPr>
          <w:rFonts w:ascii="Arial" w:cs="Arial" w:eastAsia="Arial" w:hAnsi="Arial"/>
          <w:b w:val="false"/>
          <w:bCs w:val="false"/>
          <w:i w:val="false"/>
          <w:iCs w:val="false"/>
          <w:color w:val="0A0A0A"/>
          <w:sz w:val="19"/>
          <w:szCs w:val="19"/>
        </w:rPr>
        <w:t xml:space="preserve">Practice teaching is the primary vehicle through which candidates develop instructional competency. All teaching hours must be documented, and a portion must occur under direct QTT supervision and formal assessment.</w:t>
      </w:r>
    </w:p>
    <w:p>
      <w:pPr>
        <w:keepNext/>
        <w:spacing w:after="60" w:before="160" w:line="276"/>
        <w:jc w:val="left"/>
      </w:pPr>
      <w:r>
        <w:rPr>
          <w:rFonts w:ascii="Arial" w:cs="Arial" w:eastAsia="Arial" w:hAnsi="Arial"/>
          <w:b/>
          <w:bCs/>
          <w:i w:val="false"/>
          <w:iCs w:val="false"/>
          <w:color w:val="0A0A0A"/>
          <w:sz w:val="20"/>
          <w:szCs w:val="20"/>
        </w:rPr>
        <w:t xml:space="preserve">Hour Requirements</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Minimum 30 Student Teaching hours with peers or practice clients</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Minimum 10 Assisted Teaching hours alongside an active QTT</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Minimum 5 hours formally observed and assessed by a QTT</w:t>
      </w:r>
    </w:p>
    <w:p>
      <w:pPr>
        <w:keepNext/>
        <w:spacing w:after="60" w:before="160" w:line="276"/>
        <w:jc w:val="left"/>
      </w:pPr>
      <w:r>
        <w:rPr>
          <w:rFonts w:ascii="Arial" w:cs="Arial" w:eastAsia="Arial" w:hAnsi="Arial"/>
          <w:b/>
          <w:bCs/>
          <w:i w:val="false"/>
          <w:iCs w:val="false"/>
          <w:color w:val="0A0A0A"/>
          <w:sz w:val="20"/>
          <w:szCs w:val="20"/>
        </w:rPr>
        <w:t xml:space="preserve">Teaching Competencies Developed</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Session planning and Mat setup for individual and group instruction</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Exercise delivery with appropriate sequencing and progressions</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Verbal and tactile cueing with precision and safety awareness</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Exercise regression and modification for diverse bodies and needs</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Professional communication and participant relationship management</w:t>
      </w:r>
    </w:p>
    <w:p>
      <w:pPr>
        <w:keepNext/>
        <w:spacing w:after="60" w:before="160" w:line="276"/>
        <w:jc w:val="left"/>
      </w:pPr>
      <w:r>
        <w:rPr>
          <w:rFonts w:ascii="Arial" w:cs="Arial" w:eastAsia="Arial" w:hAnsi="Arial"/>
          <w:b/>
          <w:bCs/>
          <w:i w:val="false"/>
          <w:iCs w:val="false"/>
          <w:color w:val="0A0A0A"/>
          <w:sz w:val="20"/>
          <w:szCs w:val="20"/>
        </w:rPr>
        <w:t xml:space="preserve">Documentation</w:t>
      </w:r>
    </w:p>
    <w:p>
      <w:pPr>
        <w:keepNext w:val="false"/>
        <w:spacing w:after="100" w:before="0" w:line="290"/>
        <w:jc w:val="both"/>
      </w:pPr>
      <w:r>
        <w:rPr>
          <w:rFonts w:ascii="Arial" w:cs="Arial" w:eastAsia="Arial" w:hAnsi="Arial"/>
          <w:b w:val="false"/>
          <w:bCs w:val="false"/>
          <w:i w:val="false"/>
          <w:iCs w:val="false"/>
          <w:color w:val="0A0A0A"/>
          <w:sz w:val="19"/>
          <w:szCs w:val="19"/>
        </w:rPr>
        <w:t xml:space="preserve">All practice teaching and assisted teaching sessions must be logged in the NAPI Teaching Log, co-signed by the supervising instructor or QTT. Logs must include session date, duration, client or peer descriptor, exercises covered, and supervising instructor name and credential.</w:t>
      </w:r>
    </w:p>
    <w:p>
      <w:pPr>
        <w:keepNext w:val="false"/>
        <w:spacing w:after="60" w:before="240" w:line="276"/>
        <w:jc w:val="left"/>
      </w:pPr>
      <w:r>
        <w:rPr>
          <w:rFonts w:ascii="Arial" w:cs="Arial" w:eastAsia="Arial" w:hAnsi="Arial"/>
          <w:b w:val="false"/>
          <w:bCs w:val="false"/>
          <w:i w:val="false"/>
          <w:iCs w:val="false"/>
          <w:color w:val="888888"/>
          <w:sz w:val="16"/>
          <w:szCs w:val="16"/>
        </w:rPr>
        <w:t xml:space="preserve">VI</w:t>
      </w:r>
    </w:p>
    <w:p>
      <w:pPr>
        <w:keepNext/>
        <w:pBdr>
          <w:bottom w:val="single" w:color="0A0A0A" w:sz="18" w:space="1"/>
        </w:pBdr>
        <w:spacing w:after="60" w:before="0" w:line="276"/>
        <w:jc w:val="left"/>
      </w:pPr>
      <w:r>
        <w:rPr>
          <w:rFonts w:ascii="Arial" w:cs="Arial" w:eastAsia="Arial" w:hAnsi="Arial"/>
          <w:b w:val="false"/>
          <w:bCs w:val="false"/>
          <w:i w:val="false"/>
          <w:iCs w:val="false"/>
          <w:color w:val="0A0A0A"/>
          <w:sz w:val="20"/>
          <w:szCs w:val="20"/>
        </w:rPr>
        <w:t xml:space="preserve"/>
      </w:r>
    </w:p>
    <w:p>
      <w:pPr>
        <w:keepNext/>
        <w:spacing w:after="100" w:before="0" w:line="276"/>
        <w:jc w:val="left"/>
      </w:pPr>
      <w:r>
        <w:rPr>
          <w:rFonts w:ascii="Arial" w:cs="Arial" w:eastAsia="Arial" w:hAnsi="Arial"/>
          <w:b/>
          <w:bCs/>
          <w:i w:val="false"/>
          <w:iCs w:val="false"/>
          <w:color w:val="0A0A0A"/>
          <w:sz w:val="28"/>
          <w:szCs w:val="28"/>
        </w:rPr>
        <w:t xml:space="preserve">Self-Practice Requirements</w:t>
      </w:r>
    </w:p>
    <w:p>
      <w:pPr>
        <w:keepNext w:val="false"/>
        <w:spacing w:after="100" w:before="0" w:line="290"/>
        <w:jc w:val="both"/>
      </w:pPr>
      <w:r>
        <w:rPr>
          <w:rFonts w:ascii="Arial" w:cs="Arial" w:eastAsia="Arial" w:hAnsi="Arial"/>
          <w:b w:val="false"/>
          <w:bCs w:val="false"/>
          <w:i w:val="false"/>
          <w:iCs w:val="false"/>
          <w:color w:val="0A0A0A"/>
          <w:sz w:val="19"/>
          <w:szCs w:val="19"/>
        </w:rPr>
        <w:t xml:space="preserve">Embodied physical practice is central to NAPI's pedagogical philosophy. Candidates must develop personal Mat Pilates fluency before they can effectively teach others. A minimum of </w:t>
      </w:r>
      <w:r>
        <w:rPr>
          <w:rFonts w:ascii="Arial" w:cs="Arial" w:eastAsia="Arial" w:hAnsi="Arial"/>
          <w:b/>
          <w:bCs/>
          <w:i w:val="false"/>
          <w:iCs w:val="false"/>
          <w:color w:val="0A0A0A"/>
          <w:sz w:val="19"/>
          <w:szCs w:val="19"/>
        </w:rPr>
        <w:t xml:space="preserve">30 self-practice hours</w:t>
      </w:r>
      <w:r>
        <w:rPr>
          <w:rFonts w:ascii="Arial" w:cs="Arial" w:eastAsia="Arial" w:hAnsi="Arial"/>
          <w:b w:val="false"/>
          <w:bCs w:val="false"/>
          <w:i w:val="false"/>
          <w:iCs w:val="false"/>
          <w:color w:val="0A0A0A"/>
          <w:sz w:val="19"/>
          <w:szCs w:val="19"/>
        </w:rPr>
        <w:t xml:space="preserve"> are required.</w:t>
      </w:r>
    </w:p>
    <w:p>
      <w:pPr>
        <w:keepNext/>
        <w:spacing w:after="60" w:before="160" w:line="276"/>
        <w:jc w:val="left"/>
      </w:pPr>
      <w:r>
        <w:rPr>
          <w:rFonts w:ascii="Arial" w:cs="Arial" w:eastAsia="Arial" w:hAnsi="Arial"/>
          <w:b/>
          <w:bCs/>
          <w:i w:val="false"/>
          <w:iCs w:val="false"/>
          <w:color w:val="0A0A0A"/>
          <w:sz w:val="20"/>
          <w:szCs w:val="20"/>
        </w:rPr>
        <w:t xml:space="preserve">Standards</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Minimum 30 hours completed across supervised and independent settings</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Practice documented in the NAPI Self-Practice Log with date, duration, and reflection</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Repertoire must span foundational through advanced Mat exercises as covered in the program</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Small props practice (Magic Circle, resistance bands) is encouraged and may be counted</w:t>
      </w:r>
    </w:p>
    <w:p>
      <w:pPr>
        <w:keepNext/>
        <w:spacing w:after="60" w:before="160" w:line="276"/>
        <w:jc w:val="left"/>
      </w:pPr>
      <w:r>
        <w:rPr>
          <w:rFonts w:ascii="Arial" w:cs="Arial" w:eastAsia="Arial" w:hAnsi="Arial"/>
          <w:b/>
          <w:bCs/>
          <w:i w:val="false"/>
          <w:iCs w:val="false"/>
          <w:color w:val="0A0A0A"/>
          <w:sz w:val="20"/>
          <w:szCs w:val="20"/>
        </w:rPr>
        <w:t xml:space="preserve">Expected Outcomes</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Demonstrated Mat repertoire competency across all levels</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Application of Pilates principles within personal movement practice</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Developed kinesthetic awareness to inform observational and teaching skill</w:t>
      </w:r>
    </w:p>
    <w:p>
      <w:pPr>
        <w:keepNext w:val="false"/>
        <w:spacing w:after="60" w:before="240" w:line="276"/>
        <w:jc w:val="left"/>
      </w:pPr>
      <w:r>
        <w:rPr>
          <w:rFonts w:ascii="Arial" w:cs="Arial" w:eastAsia="Arial" w:hAnsi="Arial"/>
          <w:b w:val="false"/>
          <w:bCs w:val="false"/>
          <w:i w:val="false"/>
          <w:iCs w:val="false"/>
          <w:color w:val="888888"/>
          <w:sz w:val="16"/>
          <w:szCs w:val="16"/>
        </w:rPr>
        <w:t xml:space="preserve">VII</w:t>
      </w:r>
    </w:p>
    <w:p>
      <w:pPr>
        <w:keepNext/>
        <w:pBdr>
          <w:bottom w:val="single" w:color="0A0A0A" w:sz="18" w:space="1"/>
        </w:pBdr>
        <w:spacing w:after="60" w:before="0" w:line="276"/>
        <w:jc w:val="left"/>
      </w:pPr>
      <w:r>
        <w:rPr>
          <w:rFonts w:ascii="Arial" w:cs="Arial" w:eastAsia="Arial" w:hAnsi="Arial"/>
          <w:b w:val="false"/>
          <w:bCs w:val="false"/>
          <w:i w:val="false"/>
          <w:iCs w:val="false"/>
          <w:color w:val="0A0A0A"/>
          <w:sz w:val="20"/>
          <w:szCs w:val="20"/>
        </w:rPr>
        <w:t xml:space="preserve"/>
      </w:r>
    </w:p>
    <w:p>
      <w:pPr>
        <w:keepNext/>
        <w:spacing w:after="100" w:before="0" w:line="276"/>
        <w:jc w:val="left"/>
      </w:pPr>
      <w:r>
        <w:rPr>
          <w:rFonts w:ascii="Arial" w:cs="Arial" w:eastAsia="Arial" w:hAnsi="Arial"/>
          <w:b/>
          <w:bCs/>
          <w:i w:val="false"/>
          <w:iCs w:val="false"/>
          <w:color w:val="0A0A0A"/>
          <w:sz w:val="28"/>
          <w:szCs w:val="28"/>
        </w:rPr>
        <w:t xml:space="preserve">Assessments &amp; Passing Standards</w:t>
      </w:r>
    </w:p>
    <w:p>
      <w:pPr>
        <w:keepNext w:val="false"/>
        <w:spacing w:after="100" w:before="0" w:line="290"/>
        <w:jc w:val="both"/>
      </w:pPr>
      <w:r>
        <w:rPr>
          <w:rFonts w:ascii="Arial" w:cs="Arial" w:eastAsia="Arial" w:hAnsi="Arial"/>
          <w:b w:val="false"/>
          <w:bCs w:val="false"/>
          <w:i w:val="false"/>
          <w:iCs w:val="false"/>
          <w:color w:val="0A0A0A"/>
          <w:sz w:val="19"/>
          <w:szCs w:val="19"/>
        </w:rPr>
        <w:t xml:space="preserve">Certification is awarded only upon successful demonstration of competency across all assessment components. Completion of hours alone does not constitute eligibility for certification.</w:t>
      </w:r>
    </w:p>
    <w:p>
      <w:pPr>
        <w:keepNext w:val="false"/>
        <w:spacing w:after="60" w:before="0" w:line="240"/>
        <w:jc w:val="left"/>
      </w:pPr>
      <w:r>
        <w:rPr>
          <w:rFonts w:ascii="Arial" w:cs="Arial" w:eastAsia="Arial" w:hAnsi="Arial"/>
          <w:b w:val="false"/>
          <w:bCs w:val="false"/>
          <w:i w:val="false"/>
          <w:iCs w:val="false"/>
          <w:color w:val="0A0A0A"/>
          <w:sz w:val="20"/>
          <w:szCs w:val="20"/>
        </w:rPr>
        <w:t xml:space="preserve"/>
      </w:r>
    </w:p>
    <w:tbl>
      <w:tblPr>
        <w:tblW w:type="dxa" w:w="9216"/>
        <w:tblBorders>
          <w:top w:val="single" w:color="auto" w:sz="4"/>
          <w:left w:val="single" w:color="auto" w:sz="4"/>
          <w:bottom w:val="single" w:color="auto" w:sz="4"/>
          <w:right w:val="single" w:color="auto" w:sz="4"/>
          <w:insideH w:val="single" w:color="auto" w:sz="4"/>
          <w:insideV w:val="single" w:color="auto" w:sz="4"/>
        </w:tblBorders>
      </w:tblPr>
      <w:tblGrid>
        <w:gridCol w:w="3871"/>
        <w:gridCol w:w="2396"/>
        <w:gridCol w:w="2949"/>
      </w:tblGrid>
      <w:tr>
        <w:trPr>
          <w:tblHeader/>
        </w:trPr>
        <w:tc>
          <w:tcPr>
            <w:tcW w:type="dxa" w:w="3871"/>
            <w:gridSpan w:val="1"/>
            <w:tcBorders>
              <w:top w:val="none" w:color="FFFFFF" w:sz="0"/>
              <w:left w:val="none" w:color="FFFFFF" w:sz="0"/>
              <w:bottom w:val="single" w:color="CCCCCC" w:sz="6"/>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bCs/>
                <w:i w:val="false"/>
                <w:iCs w:val="false"/>
                <w:color w:val="888888"/>
                <w:sz w:val="17"/>
                <w:szCs w:val="17"/>
              </w:rPr>
              <w:t xml:space="preserve">Assessment Component</w:t>
            </w:r>
          </w:p>
        </w:tc>
        <w:tc>
          <w:tcPr>
            <w:tcW w:type="dxa" w:w="2396"/>
            <w:gridSpan w:val="1"/>
            <w:tcBorders>
              <w:top w:val="none" w:color="FFFFFF" w:sz="0"/>
              <w:left w:val="none" w:color="FFFFFF" w:sz="0"/>
              <w:bottom w:val="single" w:color="CCCCCC" w:sz="6"/>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bCs/>
                <w:i w:val="false"/>
                <w:iCs w:val="false"/>
                <w:color w:val="888888"/>
                <w:sz w:val="17"/>
                <w:szCs w:val="17"/>
              </w:rPr>
              <w:t xml:space="preserve">Standard</w:t>
            </w:r>
          </w:p>
        </w:tc>
        <w:tc>
          <w:tcPr>
            <w:tcW w:type="dxa" w:w="2949"/>
            <w:gridSpan w:val="1"/>
            <w:tcBorders>
              <w:top w:val="none" w:color="FFFFFF" w:sz="0"/>
              <w:left w:val="none" w:color="FFFFFF" w:sz="0"/>
              <w:bottom w:val="single" w:color="CCCCCC" w:sz="6"/>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bCs/>
                <w:i w:val="false"/>
                <w:iCs w:val="false"/>
                <w:color w:val="888888"/>
                <w:sz w:val="17"/>
                <w:szCs w:val="17"/>
              </w:rPr>
              <w:t xml:space="preserve">Format</w:t>
            </w:r>
          </w:p>
        </w:tc>
      </w:tr>
      <w:tr>
        <w:trPr>
          <w:tblHeader w:val="false"/>
        </w:trPr>
        <w:tc>
          <w:tcPr>
            <w:tcW w:type="dxa" w:w="3871"/>
            <w:gridSpan w:val="1"/>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Written Examination</w:t>
            </w:r>
          </w:p>
        </w:tc>
        <w:tc>
          <w:tcPr>
            <w:tcW w:type="dxa" w:w="2396"/>
            <w:gridSpan w:val="1"/>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Minimum 88%</w:t>
            </w:r>
          </w:p>
        </w:tc>
        <w:tc>
          <w:tcPr>
            <w:tcW w:type="dxa" w:w="2949"/>
            <w:gridSpan w:val="1"/>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Closed-book written exam</w:t>
            </w:r>
          </w:p>
        </w:tc>
      </w:tr>
      <w:tr>
        <w:trPr>
          <w:tblHeader w:val="false"/>
        </w:trPr>
        <w:tc>
          <w:tcPr>
            <w:tcW w:type="dxa" w:w="3871"/>
            <w:gridSpan w:val="1"/>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Practical Teaching Examination</w:t>
            </w:r>
          </w:p>
        </w:tc>
        <w:tc>
          <w:tcPr>
            <w:tcW w:type="dxa" w:w="2396"/>
            <w:gridSpan w:val="1"/>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Minimum 88%</w:t>
            </w:r>
          </w:p>
        </w:tc>
        <w:tc>
          <w:tcPr>
            <w:tcW w:type="dxa" w:w="2949"/>
            <w:gridSpan w:val="1"/>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Live QTT-assessed teaching session</w:t>
            </w:r>
          </w:p>
        </w:tc>
      </w:tr>
      <w:tr>
        <w:trPr>
          <w:tblHeader w:val="false"/>
        </w:trPr>
        <w:tc>
          <w:tcPr>
            <w:tcW w:type="dxa" w:w="3871"/>
            <w:gridSpan w:val="1"/>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Professional Conduct</w:t>
            </w:r>
          </w:p>
        </w:tc>
        <w:tc>
          <w:tcPr>
            <w:tcW w:type="dxa" w:w="2396"/>
            <w:gridSpan w:val="1"/>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Pass / Fail</w:t>
            </w:r>
          </w:p>
        </w:tc>
        <w:tc>
          <w:tcPr>
            <w:tcW w:type="dxa" w:w="2949"/>
            <w:gridSpan w:val="1"/>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QTT &amp; Training Director evaluation</w:t>
            </w:r>
          </w:p>
        </w:tc>
      </w:tr>
      <w:tr>
        <w:trPr>
          <w:tblHeader w:val="false"/>
        </w:trPr>
        <w:tc>
          <w:tcPr>
            <w:tcW w:type="dxa" w:w="3871"/>
            <w:gridSpan w:val="1"/>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Lecture Attendance</w:t>
            </w:r>
          </w:p>
        </w:tc>
        <w:tc>
          <w:tcPr>
            <w:tcW w:type="dxa" w:w="2396"/>
            <w:gridSpan w:val="1"/>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100%</w:t>
            </w:r>
          </w:p>
        </w:tc>
        <w:tc>
          <w:tcPr>
            <w:tcW w:type="dxa" w:w="2949"/>
            <w:gridSpan w:val="1"/>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Attendance record</w:t>
            </w:r>
          </w:p>
        </w:tc>
      </w:tr>
      <w:tr>
        <w:trPr>
          <w:tblHeader w:val="false"/>
        </w:trPr>
        <w:tc>
          <w:tcPr>
            <w:tcW w:type="dxa" w:w="3871"/>
            <w:gridSpan w:val="1"/>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All Logs &amp; Documentation</w:t>
            </w:r>
          </w:p>
        </w:tc>
        <w:tc>
          <w:tcPr>
            <w:tcW w:type="dxa" w:w="2396"/>
            <w:gridSpan w:val="1"/>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100% complete</w:t>
            </w:r>
          </w:p>
        </w:tc>
        <w:tc>
          <w:tcPr>
            <w:tcW w:type="dxa" w:w="2949"/>
            <w:gridSpan w:val="1"/>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Verified submission</w:t>
            </w:r>
          </w:p>
        </w:tc>
      </w:tr>
      <w:tr>
        <w:trPr>
          <w:tblHeader w:val="false"/>
        </w:trPr>
        <w:tc>
          <w:tcPr>
            <w:tcW w:type="dxa" w:w="3871"/>
            <w:gridSpan w:val="1"/>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Total Program Hours</w:t>
            </w:r>
          </w:p>
        </w:tc>
        <w:tc>
          <w:tcPr>
            <w:tcW w:type="dxa" w:w="2396"/>
            <w:gridSpan w:val="1"/>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175 hrs required</w:t>
            </w:r>
          </w:p>
        </w:tc>
        <w:tc>
          <w:tcPr>
            <w:tcW w:type="dxa" w:w="2949"/>
            <w:gridSpan w:val="1"/>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Institutional sign-off</w:t>
            </w:r>
          </w:p>
        </w:tc>
      </w:tr>
    </w:tbl>
    <w:p>
      <w:pPr>
        <w:keepNext w:val="false"/>
        <w:spacing w:after="80" w:before="0" w:line="240"/>
        <w:jc w:val="left"/>
      </w:pPr>
      <w:r>
        <w:rPr>
          <w:rFonts w:ascii="Arial" w:cs="Arial" w:eastAsia="Arial" w:hAnsi="Arial"/>
          <w:b w:val="false"/>
          <w:bCs w:val="false"/>
          <w:i w:val="false"/>
          <w:iCs w:val="false"/>
          <w:color w:val="0A0A0A"/>
          <w:sz w:val="20"/>
          <w:szCs w:val="20"/>
        </w:rPr>
        <w:t xml:space="preserve"/>
      </w:r>
    </w:p>
    <w:p>
      <w:pPr>
        <w:keepNext/>
        <w:spacing w:after="60" w:before="160" w:line="276"/>
        <w:jc w:val="left"/>
      </w:pPr>
      <w:r>
        <w:rPr>
          <w:rFonts w:ascii="Arial" w:cs="Arial" w:eastAsia="Arial" w:hAnsi="Arial"/>
          <w:b/>
          <w:bCs/>
          <w:i w:val="false"/>
          <w:iCs w:val="false"/>
          <w:color w:val="0A0A0A"/>
          <w:sz w:val="20"/>
          <w:szCs w:val="20"/>
        </w:rPr>
        <w:t xml:space="preserve">Written Examination</w:t>
      </w:r>
    </w:p>
    <w:p>
      <w:pPr>
        <w:keepNext w:val="false"/>
        <w:spacing w:after="100" w:before="0" w:line="290"/>
        <w:jc w:val="both"/>
      </w:pPr>
      <w:r>
        <w:rPr>
          <w:rFonts w:ascii="Arial" w:cs="Arial" w:eastAsia="Arial" w:hAnsi="Arial"/>
          <w:b w:val="false"/>
          <w:bCs w:val="false"/>
          <w:i w:val="false"/>
          <w:iCs w:val="false"/>
          <w:color w:val="0A0A0A"/>
          <w:sz w:val="19"/>
          <w:szCs w:val="19"/>
        </w:rPr>
        <w:t xml:space="preserve">Assesses knowledge of Mat Pilates history, anatomy, biomechanics, Pilates principles, exercise analysis, contraindications, programming, special populations, and professional practice. A minimum of 88% is required. One retest is permitted following a mandatory review period at the Training Director's discretion.</w:t>
      </w:r>
    </w:p>
    <w:p>
      <w:pPr>
        <w:keepNext/>
        <w:spacing w:after="60" w:before="160" w:line="276"/>
        <w:jc w:val="left"/>
      </w:pPr>
      <w:r>
        <w:rPr>
          <w:rFonts w:ascii="Arial" w:cs="Arial" w:eastAsia="Arial" w:hAnsi="Arial"/>
          <w:b/>
          <w:bCs/>
          <w:i w:val="false"/>
          <w:iCs w:val="false"/>
          <w:color w:val="0A0A0A"/>
          <w:sz w:val="20"/>
          <w:szCs w:val="20"/>
        </w:rPr>
        <w:t xml:space="preserve">Practical Teaching Examination</w:t>
      </w:r>
    </w:p>
    <w:p>
      <w:pPr>
        <w:keepNext w:val="false"/>
        <w:spacing w:after="100" w:before="0" w:line="290"/>
        <w:jc w:val="both"/>
      </w:pPr>
      <w:r>
        <w:rPr>
          <w:rFonts w:ascii="Arial" w:cs="Arial" w:eastAsia="Arial" w:hAnsi="Arial"/>
          <w:b w:val="false"/>
          <w:bCs w:val="false"/>
          <w:i w:val="false"/>
          <w:iCs w:val="false"/>
          <w:color w:val="0A0A0A"/>
          <w:sz w:val="19"/>
          <w:szCs w:val="19"/>
        </w:rPr>
        <w:t xml:space="preserve">Candidates deliver a structured Mat Pilates session assessed against the NAPI Practical Competency Rubric. Evaluators assess instructional clarity, cueing precision, movement observation, safety management, exercise sequencing, and professional demeanor. A minimum of 88% is required.</w:t>
      </w:r>
    </w:p>
    <w:p>
      <w:pPr>
        <w:keepNext w:val="false"/>
        <w:spacing w:after="60" w:before="240" w:line="276"/>
        <w:jc w:val="left"/>
      </w:pPr>
      <w:r>
        <w:rPr>
          <w:rFonts w:ascii="Arial" w:cs="Arial" w:eastAsia="Arial" w:hAnsi="Arial"/>
          <w:b w:val="false"/>
          <w:bCs w:val="false"/>
          <w:i w:val="false"/>
          <w:iCs w:val="false"/>
          <w:color w:val="888888"/>
          <w:sz w:val="16"/>
          <w:szCs w:val="16"/>
        </w:rPr>
        <w:t xml:space="preserve">VIII</w:t>
      </w:r>
    </w:p>
    <w:p>
      <w:pPr>
        <w:keepNext/>
        <w:pBdr>
          <w:bottom w:val="single" w:color="0A0A0A" w:sz="18" w:space="1"/>
        </w:pBdr>
        <w:spacing w:after="60" w:before="0" w:line="276"/>
        <w:jc w:val="left"/>
      </w:pPr>
      <w:r>
        <w:rPr>
          <w:rFonts w:ascii="Arial" w:cs="Arial" w:eastAsia="Arial" w:hAnsi="Arial"/>
          <w:b w:val="false"/>
          <w:bCs w:val="false"/>
          <w:i w:val="false"/>
          <w:iCs w:val="false"/>
          <w:color w:val="0A0A0A"/>
          <w:sz w:val="20"/>
          <w:szCs w:val="20"/>
        </w:rPr>
        <w:t xml:space="preserve"/>
      </w:r>
    </w:p>
    <w:p>
      <w:pPr>
        <w:keepNext/>
        <w:spacing w:after="100" w:before="0" w:line="276"/>
        <w:jc w:val="left"/>
      </w:pPr>
      <w:r>
        <w:rPr>
          <w:rFonts w:ascii="Arial" w:cs="Arial" w:eastAsia="Arial" w:hAnsi="Arial"/>
          <w:b/>
          <w:bCs/>
          <w:i w:val="false"/>
          <w:iCs w:val="false"/>
          <w:color w:val="0A0A0A"/>
          <w:sz w:val="28"/>
          <w:szCs w:val="28"/>
        </w:rPr>
        <w:t xml:space="preserve">Core Competency Framework</w:t>
      </w:r>
    </w:p>
    <w:p>
      <w:pPr>
        <w:keepNext w:val="false"/>
        <w:spacing w:after="100" w:before="0" w:line="290"/>
        <w:jc w:val="both"/>
      </w:pPr>
      <w:r>
        <w:rPr>
          <w:rFonts w:ascii="Arial" w:cs="Arial" w:eastAsia="Arial" w:hAnsi="Arial"/>
          <w:b w:val="false"/>
          <w:bCs w:val="false"/>
          <w:i w:val="false"/>
          <w:iCs w:val="false"/>
          <w:color w:val="0A0A0A"/>
          <w:sz w:val="19"/>
          <w:szCs w:val="19"/>
        </w:rPr>
        <w:t xml:space="preserve">Graduates are evaluated against five competency domains. Each domain is assessed through both written examination (knowledge) and practical assessment (application). All domains must be satisfactorily demonstrated for certification to be awarded.</w:t>
      </w:r>
    </w:p>
    <w:p>
      <w:pPr>
        <w:keepNext w:val="false"/>
        <w:spacing w:after="60" w:before="0" w:line="240"/>
        <w:jc w:val="left"/>
      </w:pPr>
      <w:r>
        <w:rPr>
          <w:rFonts w:ascii="Arial" w:cs="Arial" w:eastAsia="Arial" w:hAnsi="Arial"/>
          <w:b w:val="false"/>
          <w:bCs w:val="false"/>
          <w:i w:val="false"/>
          <w:iCs w:val="false"/>
          <w:color w:val="0A0A0A"/>
          <w:sz w:val="20"/>
          <w:szCs w:val="20"/>
        </w:rPr>
        <w:t xml:space="preserve"/>
      </w:r>
    </w:p>
    <w:tbl>
      <w:tblPr>
        <w:tblW w:type="dxa" w:w="9216"/>
        <w:tblBorders>
          <w:top w:val="single" w:color="auto" w:sz="4"/>
          <w:left w:val="single" w:color="auto" w:sz="4"/>
          <w:bottom w:val="single" w:color="auto" w:sz="4"/>
          <w:right w:val="single" w:color="auto" w:sz="4"/>
          <w:insideH w:val="single" w:color="auto" w:sz="4"/>
          <w:insideV w:val="single" w:color="auto" w:sz="4"/>
        </w:tblBorders>
      </w:tblPr>
      <w:tblGrid>
        <w:gridCol w:w="2028"/>
        <w:gridCol w:w="7188"/>
      </w:tblGrid>
      <w:tr>
        <w:trPr>
          <w:tblHeader/>
        </w:trPr>
        <w:tc>
          <w:tcPr>
            <w:tcW w:type="dxa" w:w="2028"/>
            <w:gridSpan w:val="1"/>
            <w:tcBorders>
              <w:top w:val="none" w:color="FFFFFF" w:sz="0"/>
              <w:left w:val="none" w:color="FFFFFF" w:sz="0"/>
              <w:bottom w:val="single" w:color="CCCCCC" w:sz="6"/>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bCs/>
                <w:i w:val="false"/>
                <w:iCs w:val="false"/>
                <w:color w:val="888888"/>
                <w:sz w:val="17"/>
                <w:szCs w:val="17"/>
              </w:rPr>
              <w:t xml:space="preserve">Domain</w:t>
            </w:r>
          </w:p>
        </w:tc>
        <w:tc>
          <w:tcPr>
            <w:tcW w:type="dxa" w:w="7188"/>
            <w:gridSpan w:val="1"/>
            <w:tcBorders>
              <w:top w:val="none" w:color="FFFFFF" w:sz="0"/>
              <w:left w:val="none" w:color="FFFFFF" w:sz="0"/>
              <w:bottom w:val="single" w:color="CCCCCC" w:sz="6"/>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bCs/>
                <w:i w:val="false"/>
                <w:iCs w:val="false"/>
                <w:color w:val="888888"/>
                <w:sz w:val="17"/>
                <w:szCs w:val="17"/>
              </w:rPr>
              <w:t xml:space="preserve">Core Competencies</w:t>
            </w:r>
          </w:p>
        </w:tc>
      </w:tr>
      <w:tr>
        <w:trPr>
          <w:tblHeader w:val="false"/>
        </w:trPr>
        <w:tc>
          <w:tcPr>
            <w:tcW w:type="dxa" w:w="2028"/>
            <w:gridSpan w:val="1"/>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Technical</w:t>
            </w:r>
          </w:p>
        </w:tc>
        <w:tc>
          <w:tcPr>
            <w:tcW w:type="dxa" w:w="7188"/>
            <w:gridSpan w:val="1"/>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Full Mat repertoire (foundations through advanced) · Exercise modification · Small props integration · Progressions and regressions · Class sequencing</w:t>
            </w:r>
          </w:p>
        </w:tc>
      </w:tr>
      <w:tr>
        <w:trPr>
          <w:tblHeader w:val="false"/>
        </w:trPr>
        <w:tc>
          <w:tcPr>
            <w:tcW w:type="dxa" w:w="2028"/>
            <w:gridSpan w:val="1"/>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Teaching</w:t>
            </w:r>
          </w:p>
        </w:tc>
        <w:tc>
          <w:tcPr>
            <w:tcW w:type="dxa" w:w="7188"/>
            <w:gridSpan w:val="1"/>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Verbal, tactile &amp; visual cueing · Movement observation · Real-time correction and feedback · Session planning · Group management</w:t>
            </w:r>
          </w:p>
        </w:tc>
      </w:tr>
      <w:tr>
        <w:trPr>
          <w:tblHeader w:val="false"/>
        </w:trPr>
        <w:tc>
          <w:tcPr>
            <w:tcW w:type="dxa" w:w="2028"/>
            <w:gridSpan w:val="1"/>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Professional</w:t>
            </w:r>
          </w:p>
        </w:tc>
        <w:tc>
          <w:tcPr>
            <w:tcW w:type="dxa" w:w="7188"/>
            <w:gridSpan w:val="1"/>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Ethics and conduct · Documentation standards · Scope of practice · Client communication and professionalism</w:t>
            </w:r>
          </w:p>
        </w:tc>
      </w:tr>
      <w:tr>
        <w:trPr>
          <w:tblHeader w:val="false"/>
        </w:trPr>
        <w:tc>
          <w:tcPr>
            <w:tcW w:type="dxa" w:w="2028"/>
            <w:gridSpan w:val="1"/>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Safety</w:t>
            </w:r>
          </w:p>
        </w:tc>
        <w:tc>
          <w:tcPr>
            <w:tcW w:type="dxa" w:w="7188"/>
            <w:gridSpan w:val="1"/>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Client screening and health intake · Contraindications and modifications · Risk management · Special populations awareness</w:t>
            </w:r>
          </w:p>
        </w:tc>
      </w:tr>
      <w:tr>
        <w:trPr>
          <w:tblHeader w:val="false"/>
        </w:trPr>
        <w:tc>
          <w:tcPr>
            <w:tcW w:type="dxa" w:w="2028"/>
            <w:gridSpan w:val="1"/>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Movement Science</w:t>
            </w:r>
          </w:p>
        </w:tc>
        <w:tc>
          <w:tcPr>
            <w:tcW w:type="dxa" w:w="7188"/>
            <w:gridSpan w:val="1"/>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Functional anatomy · Postural analysis · Pilates principles · Breath mechanics · Movement pattern recognition</w:t>
            </w:r>
          </w:p>
        </w:tc>
      </w:tr>
    </w:tbl>
    <w:p>
      <w:pPr>
        <w:keepNext w:val="false"/>
        <w:spacing w:after="60" w:before="240" w:line="276"/>
        <w:jc w:val="left"/>
      </w:pPr>
      <w:r>
        <w:rPr>
          <w:rFonts w:ascii="Arial" w:cs="Arial" w:eastAsia="Arial" w:hAnsi="Arial"/>
          <w:b w:val="false"/>
          <w:bCs w:val="false"/>
          <w:i w:val="false"/>
          <w:iCs w:val="false"/>
          <w:color w:val="888888"/>
          <w:sz w:val="16"/>
          <w:szCs w:val="16"/>
        </w:rPr>
        <w:t xml:space="preserve">IX</w:t>
      </w:r>
    </w:p>
    <w:p>
      <w:pPr>
        <w:keepNext/>
        <w:pBdr>
          <w:bottom w:val="single" w:color="0A0A0A" w:sz="18" w:space="1"/>
        </w:pBdr>
        <w:spacing w:after="60" w:before="0" w:line="276"/>
        <w:jc w:val="left"/>
      </w:pPr>
      <w:r>
        <w:rPr>
          <w:rFonts w:ascii="Arial" w:cs="Arial" w:eastAsia="Arial" w:hAnsi="Arial"/>
          <w:b w:val="false"/>
          <w:bCs w:val="false"/>
          <w:i w:val="false"/>
          <w:iCs w:val="false"/>
          <w:color w:val="0A0A0A"/>
          <w:sz w:val="20"/>
          <w:szCs w:val="20"/>
        </w:rPr>
        <w:t xml:space="preserve"/>
      </w:r>
    </w:p>
    <w:p>
      <w:pPr>
        <w:keepNext/>
        <w:spacing w:after="100" w:before="0" w:line="276"/>
        <w:jc w:val="left"/>
      </w:pPr>
      <w:r>
        <w:rPr>
          <w:rFonts w:ascii="Arial" w:cs="Arial" w:eastAsia="Arial" w:hAnsi="Arial"/>
          <w:b/>
          <w:bCs/>
          <w:i w:val="false"/>
          <w:iCs w:val="false"/>
          <w:color w:val="0A0A0A"/>
          <w:sz w:val="28"/>
          <w:szCs w:val="28"/>
        </w:rPr>
        <w:t xml:space="preserve">Graduation Requirements</w:t>
      </w:r>
    </w:p>
    <w:p>
      <w:pPr>
        <w:keepNext w:val="false"/>
        <w:spacing w:after="100" w:before="0" w:line="290"/>
        <w:jc w:val="both"/>
      </w:pPr>
      <w:r>
        <w:rPr>
          <w:rFonts w:ascii="Arial" w:cs="Arial" w:eastAsia="Arial" w:hAnsi="Arial"/>
          <w:b w:val="false"/>
          <w:bCs w:val="false"/>
          <w:i w:val="false"/>
          <w:iCs w:val="false"/>
          <w:color w:val="0A0A0A"/>
          <w:sz w:val="19"/>
          <w:szCs w:val="19"/>
        </w:rPr>
        <w:t xml:space="preserve">NAPI certification is awarded upon verified completion of all requirements below. No single requirement may be waived. Partial completion does not entitle a candidate to provisional certification.</w:t>
      </w:r>
    </w:p>
    <w:p>
      <w:pPr>
        <w:keepNext/>
        <w:spacing w:after="60" w:before="160" w:line="276"/>
        <w:jc w:val="left"/>
      </w:pPr>
      <w:r>
        <w:rPr>
          <w:rFonts w:ascii="Arial" w:cs="Arial" w:eastAsia="Arial" w:hAnsi="Arial"/>
          <w:b/>
          <w:bCs/>
          <w:i w:val="false"/>
          <w:iCs w:val="false"/>
          <w:color w:val="0A0A0A"/>
          <w:sz w:val="20"/>
          <w:szCs w:val="20"/>
        </w:rPr>
        <w:t xml:space="preserve">All of the Following Must Be Met</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All 175 program hours completed and verified across all seven components</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Written assessment minimum score of 88% achieved</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Practical teaching assessment minimum score of 88% achieved</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Lecture attendance at 100%; approved make-up required for any absence</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All observation, self-practice, and teaching logs submitted and verified</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Professional conduct evaluated as satisfactory by QTT or Training Director</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Signed acknowledgment of NAPI Code of Ethics and Professional Conduct</w:t>
      </w:r>
    </w:p>
    <w:p>
      <w:pPr>
        <w:keepNext w:val="false"/>
        <w:spacing w:after="40" w:before="0" w:line="240"/>
        <w:jc w:val="left"/>
      </w:pPr>
      <w:r>
        <w:rPr>
          <w:rFonts w:ascii="Arial" w:cs="Arial" w:eastAsia="Arial" w:hAnsi="Arial"/>
          <w:b w:val="false"/>
          <w:bCs w:val="false"/>
          <w:i w:val="false"/>
          <w:iCs w:val="false"/>
          <w:color w:val="0A0A0A"/>
          <w:sz w:val="20"/>
          <w:szCs w:val="20"/>
        </w:rPr>
        <w:t xml:space="preserve"/>
      </w:r>
    </w:p>
    <w:p>
      <w:pPr>
        <w:keepNext w:val="false"/>
        <w:spacing w:after="120" w:before="0" w:line="276"/>
        <w:ind w:left="180"/>
        <w:jc w:val="both"/>
      </w:pPr>
      <w:r>
        <w:rPr>
          <w:rFonts w:ascii="Arial" w:cs="Arial" w:eastAsia="Arial" w:hAnsi="Arial"/>
          <w:b w:val="false"/>
          <w:bCs w:val="false"/>
          <w:i/>
          <w:iCs/>
          <w:color w:val="444444"/>
          <w:sz w:val="18"/>
          <w:szCs w:val="18"/>
        </w:rPr>
        <w:t xml:space="preserve">NAPI reserves the right to defer, deny, suspend, or revoke certification in cases of academic dishonesty, falsification of records, ethical violations, or breach of institutional policies.</w:t>
      </w:r>
    </w:p>
    <w:p>
      <w:pPr>
        <w:keepNext w:val="false"/>
        <w:spacing w:after="60" w:before="240" w:line="276"/>
        <w:jc w:val="left"/>
      </w:pPr>
      <w:r>
        <w:rPr>
          <w:rFonts w:ascii="Arial" w:cs="Arial" w:eastAsia="Arial" w:hAnsi="Arial"/>
          <w:b w:val="false"/>
          <w:bCs w:val="false"/>
          <w:i w:val="false"/>
          <w:iCs w:val="false"/>
          <w:color w:val="888888"/>
          <w:sz w:val="16"/>
          <w:szCs w:val="16"/>
        </w:rPr>
        <w:t xml:space="preserve">X</w:t>
      </w:r>
    </w:p>
    <w:p>
      <w:pPr>
        <w:keepNext/>
        <w:pBdr>
          <w:bottom w:val="single" w:color="0A0A0A" w:sz="18" w:space="1"/>
        </w:pBdr>
        <w:spacing w:after="60" w:before="0" w:line="276"/>
        <w:jc w:val="left"/>
      </w:pPr>
      <w:r>
        <w:rPr>
          <w:rFonts w:ascii="Arial" w:cs="Arial" w:eastAsia="Arial" w:hAnsi="Arial"/>
          <w:b w:val="false"/>
          <w:bCs w:val="false"/>
          <w:i w:val="false"/>
          <w:iCs w:val="false"/>
          <w:color w:val="0A0A0A"/>
          <w:sz w:val="20"/>
          <w:szCs w:val="20"/>
        </w:rPr>
        <w:t xml:space="preserve"/>
      </w:r>
    </w:p>
    <w:p>
      <w:pPr>
        <w:keepNext/>
        <w:spacing w:after="100" w:before="0" w:line="276"/>
        <w:jc w:val="left"/>
      </w:pPr>
      <w:r>
        <w:rPr>
          <w:rFonts w:ascii="Arial" w:cs="Arial" w:eastAsia="Arial" w:hAnsi="Arial"/>
          <w:b/>
          <w:bCs/>
          <w:i w:val="false"/>
          <w:iCs w:val="false"/>
          <w:color w:val="0A0A0A"/>
          <w:sz w:val="28"/>
          <w:szCs w:val="28"/>
        </w:rPr>
        <w:t xml:space="preserve">Code of Ethics &amp; Professional Conduct</w:t>
      </w:r>
    </w:p>
    <w:p>
      <w:pPr>
        <w:keepNext w:val="false"/>
        <w:spacing w:after="100" w:before="0" w:line="290"/>
        <w:jc w:val="both"/>
      </w:pPr>
      <w:r>
        <w:rPr>
          <w:rFonts w:ascii="Arial" w:cs="Arial" w:eastAsia="Arial" w:hAnsi="Arial"/>
          <w:b w:val="false"/>
          <w:bCs w:val="false"/>
          <w:i w:val="false"/>
          <w:iCs w:val="false"/>
          <w:color w:val="0A0A0A"/>
          <w:sz w:val="19"/>
          <w:szCs w:val="19"/>
        </w:rPr>
        <w:t xml:space="preserve">All NAPI candidates and certified instructors are bound by the NAPI Code of Ethics and Professional Conduct. Adherence to this Code is a condition of enrollment, program completion, and ongoing certification maintenance.</w:t>
      </w:r>
    </w:p>
    <w:p>
      <w:pPr>
        <w:keepNext/>
        <w:spacing w:after="60" w:before="160" w:line="276"/>
        <w:jc w:val="left"/>
      </w:pPr>
      <w:r>
        <w:rPr>
          <w:rFonts w:ascii="Arial" w:cs="Arial" w:eastAsia="Arial" w:hAnsi="Arial"/>
          <w:b/>
          <w:bCs/>
          <w:i w:val="false"/>
          <w:iCs w:val="false"/>
          <w:color w:val="0A0A0A"/>
          <w:sz w:val="20"/>
          <w:szCs w:val="20"/>
        </w:rPr>
        <w:t xml:space="preserve">Certified Instructors Agree To</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Prioritize client safety and wellbeing in all instructional decisions</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Practice exclusively within their verified scope of practice</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Maintain strict confidentiality of client information and health disclosures</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Demonstrate consistent professionalism in conduct and communication</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Respect diversity across backgrounds, bodies, and abilities</w:t>
      </w:r>
    </w:p>
    <w:p>
      <w:pPr>
        <w:pStyle w:val="ListParagraph"/>
        <w:numPr>
          <w:ilvl w:val="0"/>
          <w:numId w:val="2"/>
        </w:numPr>
        <w:spacing w:after="60" w:before="40" w:line="276"/>
      </w:pPr>
      <w:r>
        <w:rPr>
          <w:rFonts w:ascii="Arial" w:cs="Arial" w:eastAsia="Arial" w:hAnsi="Arial"/>
          <w:b w:val="false"/>
          <w:bCs w:val="false"/>
          <w:i w:val="false"/>
          <w:iCs w:val="false"/>
          <w:color w:val="0A0A0A"/>
          <w:sz w:val="19"/>
          <w:szCs w:val="19"/>
        </w:rPr>
        <w:t xml:space="preserve">Engage in ongoing professional development and reflective practice</w:t>
      </w:r>
    </w:p>
    <w:p>
      <w:pPr>
        <w:keepNext w:val="false"/>
        <w:spacing w:after="40" w:before="0" w:line="240"/>
        <w:jc w:val="left"/>
      </w:pPr>
      <w:r>
        <w:rPr>
          <w:rFonts w:ascii="Arial" w:cs="Arial" w:eastAsia="Arial" w:hAnsi="Arial"/>
          <w:b w:val="false"/>
          <w:bCs w:val="false"/>
          <w:i w:val="false"/>
          <w:iCs w:val="false"/>
          <w:color w:val="0A0A0A"/>
          <w:sz w:val="20"/>
          <w:szCs w:val="20"/>
        </w:rPr>
        <w:t xml:space="preserve"/>
      </w:r>
    </w:p>
    <w:p>
      <w:pPr>
        <w:keepNext w:val="false"/>
        <w:spacing w:after="120" w:before="0" w:line="276"/>
        <w:ind w:left="180"/>
        <w:jc w:val="both"/>
      </w:pPr>
      <w:r>
        <w:rPr>
          <w:rFonts w:ascii="Arial" w:cs="Arial" w:eastAsia="Arial" w:hAnsi="Arial"/>
          <w:b w:val="false"/>
          <w:bCs w:val="false"/>
          <w:i/>
          <w:iCs/>
          <w:color w:val="444444"/>
          <w:sz w:val="18"/>
          <w:szCs w:val="18"/>
        </w:rPr>
        <w:t xml:space="preserve">Violation of the Code may result in disciplinary action, suspension from the program, or certification review and revocation.</w:t>
      </w:r>
    </w:p>
    <w:p>
      <w:pPr>
        <w:keepNext w:val="false"/>
        <w:spacing w:after="60" w:before="240" w:line="276"/>
        <w:jc w:val="left"/>
      </w:pPr>
      <w:r>
        <w:rPr>
          <w:rFonts w:ascii="Arial" w:cs="Arial" w:eastAsia="Arial" w:hAnsi="Arial"/>
          <w:b w:val="false"/>
          <w:bCs w:val="false"/>
          <w:i w:val="false"/>
          <w:iCs w:val="false"/>
          <w:color w:val="888888"/>
          <w:sz w:val="16"/>
          <w:szCs w:val="16"/>
        </w:rPr>
        <w:t xml:space="preserve">XI</w:t>
      </w:r>
    </w:p>
    <w:p>
      <w:pPr>
        <w:keepNext/>
        <w:pBdr>
          <w:bottom w:val="single" w:color="0A0A0A" w:sz="18" w:space="1"/>
        </w:pBdr>
        <w:spacing w:after="60" w:before="0" w:line="276"/>
        <w:jc w:val="left"/>
      </w:pPr>
      <w:r>
        <w:rPr>
          <w:rFonts w:ascii="Arial" w:cs="Arial" w:eastAsia="Arial" w:hAnsi="Arial"/>
          <w:b w:val="false"/>
          <w:bCs w:val="false"/>
          <w:i w:val="false"/>
          <w:iCs w:val="false"/>
          <w:color w:val="0A0A0A"/>
          <w:sz w:val="20"/>
          <w:szCs w:val="20"/>
        </w:rPr>
        <w:t xml:space="preserve"/>
      </w:r>
    </w:p>
    <w:p>
      <w:pPr>
        <w:keepNext/>
        <w:spacing w:after="100" w:before="0" w:line="276"/>
        <w:jc w:val="left"/>
      </w:pPr>
      <w:r>
        <w:rPr>
          <w:rFonts w:ascii="Arial" w:cs="Arial" w:eastAsia="Arial" w:hAnsi="Arial"/>
          <w:b/>
          <w:bCs/>
          <w:i w:val="false"/>
          <w:iCs w:val="false"/>
          <w:color w:val="0A0A0A"/>
          <w:sz w:val="28"/>
          <w:szCs w:val="28"/>
        </w:rPr>
        <w:t xml:space="preserve">Certificate Verification</w:t>
      </w:r>
    </w:p>
    <w:p>
      <w:pPr>
        <w:keepNext w:val="false"/>
        <w:spacing w:after="100" w:before="0" w:line="290"/>
        <w:jc w:val="both"/>
      </w:pPr>
      <w:r>
        <w:rPr>
          <w:rFonts w:ascii="Arial" w:cs="Arial" w:eastAsia="Arial" w:hAnsi="Arial"/>
          <w:b w:val="false"/>
          <w:bCs w:val="false"/>
          <w:i w:val="false"/>
          <w:iCs w:val="false"/>
          <w:color w:val="0A0A0A"/>
          <w:sz w:val="19"/>
          <w:szCs w:val="19"/>
        </w:rPr>
        <w:t xml:space="preserve">NAPI maintains a certificate verification process to promote transparency, credential integrity, and public trust. All issued certificates are recorded in the official NAPI Certification Registry.</w:t>
      </w:r>
    </w:p>
    <w:p>
      <w:pPr>
        <w:keepNext/>
        <w:spacing w:after="60" w:before="160" w:line="276"/>
        <w:jc w:val="left"/>
      </w:pPr>
      <w:r>
        <w:rPr>
          <w:rFonts w:ascii="Arial" w:cs="Arial" w:eastAsia="Arial" w:hAnsi="Arial"/>
          <w:b/>
          <w:bCs/>
          <w:i w:val="false"/>
          <w:iCs w:val="false"/>
          <w:color w:val="0A0A0A"/>
          <w:sz w:val="20"/>
          <w:szCs w:val="20"/>
        </w:rPr>
        <w:t xml:space="preserve">Verification Contact</w:t>
      </w:r>
    </w:p>
    <w:p>
      <w:pPr>
        <w:keepNext w:val="false"/>
        <w:spacing w:after="100" w:before="0" w:line="290"/>
        <w:jc w:val="both"/>
      </w:pPr>
      <w:r>
        <w:rPr>
          <w:rFonts w:ascii="Arial" w:cs="Arial" w:eastAsia="Arial" w:hAnsi="Arial"/>
          <w:b w:val="false"/>
          <w:bCs w:val="false"/>
          <w:i w:val="false"/>
          <w:iCs w:val="false"/>
          <w:color w:val="0A0A0A"/>
          <w:sz w:val="19"/>
          <w:szCs w:val="19"/>
        </w:rPr>
        <w:t xml:space="preserve">Employers, studios, institutions, and third parties may request credential verification by contacting:</w:t>
      </w:r>
    </w:p>
    <w:p>
      <w:pPr>
        <w:keepNext w:val="false"/>
        <w:spacing w:after="100" w:before="0" w:line="276"/>
        <w:jc w:val="left"/>
      </w:pPr>
      <w:r>
        <w:rPr>
          <w:rFonts w:ascii="Arial" w:cs="Arial" w:eastAsia="Arial" w:hAnsi="Arial"/>
          <w:b/>
          <w:bCs/>
          <w:i w:val="false"/>
          <w:iCs w:val="false"/>
          <w:color w:val="0A0A0A"/>
          <w:sz w:val="19"/>
          <w:szCs w:val="19"/>
        </w:rPr>
        <w:t xml:space="preserve">certification@northamericanpilates.com</w:t>
      </w:r>
    </w:p>
    <w:p>
      <w:pPr>
        <w:keepNext w:val="false"/>
        <w:spacing w:after="100" w:before="0" w:line="290"/>
        <w:jc w:val="both"/>
      </w:pPr>
      <w:r>
        <w:rPr>
          <w:rFonts w:ascii="Arial" w:cs="Arial" w:eastAsia="Arial" w:hAnsi="Arial"/>
          <w:b w:val="false"/>
          <w:bCs w:val="false"/>
          <w:i w:val="false"/>
          <w:iCs w:val="false"/>
          <w:color w:val="0A0A0A"/>
          <w:sz w:val="19"/>
          <w:szCs w:val="19"/>
        </w:rPr>
        <w:t xml:space="preserve">Verification requests should include: graduate full name, certificate number (if available), certification title, and approximate date of certification.</w:t>
      </w:r>
    </w:p>
    <w:p>
      <w:pPr>
        <w:keepNext/>
        <w:spacing w:after="60" w:before="160" w:line="276"/>
        <w:jc w:val="left"/>
      </w:pPr>
      <w:r>
        <w:rPr>
          <w:rFonts w:ascii="Arial" w:cs="Arial" w:eastAsia="Arial" w:hAnsi="Arial"/>
          <w:b/>
          <w:bCs/>
          <w:i w:val="false"/>
          <w:iCs w:val="false"/>
          <w:color w:val="0A0A0A"/>
          <w:sz w:val="20"/>
          <w:szCs w:val="20"/>
        </w:rPr>
        <w:t xml:space="preserve">Certificate Status Definitions</w:t>
      </w:r>
    </w:p>
    <w:p>
      <w:pPr>
        <w:keepNext w:val="false"/>
        <w:spacing w:after="40" w:before="0" w:line="240"/>
        <w:jc w:val="left"/>
      </w:pPr>
      <w:r>
        <w:rPr>
          <w:rFonts w:ascii="Arial" w:cs="Arial" w:eastAsia="Arial" w:hAnsi="Arial"/>
          <w:b w:val="false"/>
          <w:bCs w:val="false"/>
          <w:i w:val="false"/>
          <w:iCs w:val="false"/>
          <w:color w:val="0A0A0A"/>
          <w:sz w:val="20"/>
          <w:szCs w:val="20"/>
        </w:rPr>
        <w:t xml:space="preserve"/>
      </w:r>
    </w:p>
    <w:tbl>
      <w:tblPr>
        <w:tblW w:type="dxa" w:w="9216"/>
        <w:tblBorders>
          <w:top w:val="single" w:color="auto" w:sz="4"/>
          <w:left w:val="single" w:color="auto" w:sz="4"/>
          <w:bottom w:val="single" w:color="auto" w:sz="4"/>
          <w:right w:val="single" w:color="auto" w:sz="4"/>
          <w:insideH w:val="single" w:color="auto" w:sz="4"/>
          <w:insideV w:val="single" w:color="auto" w:sz="4"/>
        </w:tblBorders>
      </w:tblPr>
      <w:tblGrid>
        <w:gridCol w:w="2028"/>
        <w:gridCol w:w="7188"/>
      </w:tblGrid>
      <w:tr>
        <w:trPr>
          <w:tblHeader/>
        </w:trPr>
        <w:tc>
          <w:tcPr>
            <w:tcW w:type="dxa" w:w="2028"/>
            <w:gridSpan w:val="1"/>
            <w:tcBorders>
              <w:top w:val="none" w:color="FFFFFF" w:sz="0"/>
              <w:left w:val="none" w:color="FFFFFF" w:sz="0"/>
              <w:bottom w:val="single" w:color="CCCCCC" w:sz="6"/>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bCs/>
                <w:i w:val="false"/>
                <w:iCs w:val="false"/>
                <w:color w:val="888888"/>
                <w:sz w:val="17"/>
                <w:szCs w:val="17"/>
              </w:rPr>
              <w:t xml:space="preserve">Status</w:t>
            </w:r>
          </w:p>
        </w:tc>
        <w:tc>
          <w:tcPr>
            <w:tcW w:type="dxa" w:w="7188"/>
            <w:gridSpan w:val="1"/>
            <w:tcBorders>
              <w:top w:val="none" w:color="FFFFFF" w:sz="0"/>
              <w:left w:val="none" w:color="FFFFFF" w:sz="0"/>
              <w:bottom w:val="single" w:color="CCCCCC" w:sz="6"/>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bCs/>
                <w:i w:val="false"/>
                <w:iCs w:val="false"/>
                <w:color w:val="888888"/>
                <w:sz w:val="17"/>
                <w:szCs w:val="17"/>
              </w:rPr>
              <w:t xml:space="preserve">Definition</w:t>
            </w:r>
          </w:p>
        </w:tc>
      </w:tr>
      <w:tr>
        <w:trPr>
          <w:tblHeader w:val="false"/>
        </w:trPr>
        <w:tc>
          <w:tcPr>
            <w:tcW w:type="dxa" w:w="2028"/>
            <w:gridSpan w:val="1"/>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ACTIVE</w:t>
            </w:r>
          </w:p>
        </w:tc>
        <w:tc>
          <w:tcPr>
            <w:tcW w:type="dxa" w:w="7188"/>
            <w:gridSpan w:val="1"/>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Certification valid and in good standing</w:t>
            </w:r>
          </w:p>
        </w:tc>
      </w:tr>
      <w:tr>
        <w:trPr>
          <w:tblHeader w:val="false"/>
        </w:trPr>
        <w:tc>
          <w:tcPr>
            <w:tcW w:type="dxa" w:w="2028"/>
            <w:gridSpan w:val="1"/>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INACTIVE</w:t>
            </w:r>
          </w:p>
        </w:tc>
        <w:tc>
          <w:tcPr>
            <w:tcW w:type="dxa" w:w="7188"/>
            <w:gridSpan w:val="1"/>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Certification recognized but not currently maintained</w:t>
            </w:r>
          </w:p>
        </w:tc>
      </w:tr>
      <w:tr>
        <w:trPr>
          <w:tblHeader w:val="false"/>
        </w:trPr>
        <w:tc>
          <w:tcPr>
            <w:tcW w:type="dxa" w:w="2028"/>
            <w:gridSpan w:val="1"/>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EXPIRED</w:t>
            </w:r>
          </w:p>
        </w:tc>
        <w:tc>
          <w:tcPr>
            <w:tcW w:type="dxa" w:w="7188"/>
            <w:gridSpan w:val="1"/>
            <w:tcBorders>
              <w:top w:val="none" w:color="FFFFFF" w:sz="0"/>
              <w:left w:val="none" w:color="FFFFFF" w:sz="0"/>
              <w:bottom w:val="none" w:color="FFFFFF" w:sz="0"/>
              <w:right w:val="none" w:color="FFFFFF" w:sz="0"/>
            </w:tcBorders>
            <w:shd w:fill="F2F2F2"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Renewal requirements not fulfilled within required period</w:t>
            </w:r>
          </w:p>
        </w:tc>
      </w:tr>
      <w:tr>
        <w:trPr>
          <w:tblHeader w:val="false"/>
        </w:trPr>
        <w:tc>
          <w:tcPr>
            <w:tcW w:type="dxa" w:w="2028"/>
            <w:gridSpan w:val="1"/>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REVOKED</w:t>
            </w:r>
          </w:p>
        </w:tc>
        <w:tc>
          <w:tcPr>
            <w:tcW w:type="dxa" w:w="7188"/>
            <w:gridSpan w:val="1"/>
            <w:tcBorders>
              <w:top w:val="none" w:color="FFFFFF" w:sz="0"/>
              <w:left w:val="none" w:color="FFFFFF" w:sz="0"/>
              <w:bottom w:val="none" w:color="FFFFFF" w:sz="0"/>
              <w:right w:val="none" w:color="FFFFFF" w:sz="0"/>
            </w:tcBorders>
            <w:shd w:fill="FFFFFF" w:val="clear"/>
            <w:tcMar>
              <w:top w:type="dxa" w:w="90"/>
              <w:left w:type="dxa" w:w="130"/>
              <w:bottom w:type="dxa" w:w="90"/>
              <w:right w:type="dxa" w:w="130"/>
            </w:tcMar>
            <w:vAlign w:val="top"/>
          </w:tcPr>
          <w:p>
            <w:pPr>
              <w:keepNext w:val="false"/>
              <w:spacing w:after="0" w:before="0" w:line="276"/>
              <w:jc w:val="left"/>
            </w:pPr>
            <w:r>
              <w:rPr>
                <w:rFonts w:ascii="Arial" w:cs="Arial" w:eastAsia="Arial" w:hAnsi="Arial"/>
                <w:b w:val="false"/>
                <w:bCs w:val="false"/>
                <w:i w:val="false"/>
                <w:iCs w:val="false"/>
                <w:color w:val="0A0A0A"/>
                <w:sz w:val="19"/>
                <w:szCs w:val="19"/>
              </w:rPr>
              <w:t xml:space="preserve">Certification withdrawn due to policy breach or misconduct</w:t>
            </w:r>
          </w:p>
        </w:tc>
      </w:tr>
    </w:tbl>
    <w:p>
      <w:pPr>
        <w:keepNext w:val="false"/>
        <w:spacing w:after="60" w:before="0" w:line="240"/>
        <w:jc w:val="left"/>
      </w:pPr>
      <w:r>
        <w:rPr>
          <w:rFonts w:ascii="Arial" w:cs="Arial" w:eastAsia="Arial" w:hAnsi="Arial"/>
          <w:b w:val="false"/>
          <w:bCs w:val="false"/>
          <w:i w:val="false"/>
          <w:iCs w:val="false"/>
          <w:color w:val="0A0A0A"/>
          <w:sz w:val="20"/>
          <w:szCs w:val="20"/>
        </w:rPr>
        <w:t xml:space="preserve"/>
      </w:r>
    </w:p>
    <w:p>
      <w:pPr>
        <w:keepNext w:val="false"/>
        <w:spacing w:after="120" w:before="0" w:line="276"/>
        <w:ind w:left="180"/>
        <w:jc w:val="both"/>
      </w:pPr>
      <w:r>
        <w:rPr>
          <w:rFonts w:ascii="Arial" w:cs="Arial" w:eastAsia="Arial" w:hAnsi="Arial"/>
          <w:b w:val="false"/>
          <w:bCs w:val="false"/>
          <w:i/>
          <w:iCs/>
          <w:color w:val="444444"/>
          <w:sz w:val="18"/>
          <w:szCs w:val="18"/>
        </w:rPr>
        <w:t xml:space="preserve">NAPI reserves the right to deny, suspend, revoke, or invalidate certifications in cases including fraudulent applications, falsification of records, ethical violations, or breach of institutional policies.</w:t>
      </w:r>
    </w:p>
    <w:p>
      <w:pPr>
        <w:keepNext w:val="false"/>
        <w:spacing w:after="240" w:before="0" w:line="240"/>
        <w:jc w:val="left"/>
      </w:pPr>
      <w:r>
        <w:rPr>
          <w:rFonts w:ascii="Arial" w:cs="Arial" w:eastAsia="Arial" w:hAnsi="Arial"/>
          <w:b w:val="false"/>
          <w:bCs w:val="false"/>
          <w:i w:val="false"/>
          <w:iCs w:val="false"/>
          <w:color w:val="0A0A0A"/>
          <w:sz w:val="20"/>
          <w:szCs w:val="20"/>
        </w:rPr>
        <w:t xml:space="preserve"/>
      </w:r>
    </w:p>
    <w:p>
      <w:pPr>
        <w:keepNext w:val="false"/>
        <w:pBdr>
          <w:bottom w:val="single" w:color="0A0A0A" w:sz="18" w:space="1"/>
        </w:pBdr>
        <w:spacing w:after="36" w:before="0" w:line="276"/>
        <w:jc w:val="left"/>
      </w:pPr>
      <w:r>
        <w:rPr>
          <w:rFonts w:ascii="Arial" w:cs="Arial" w:eastAsia="Arial" w:hAnsi="Arial"/>
          <w:b w:val="false"/>
          <w:bCs w:val="false"/>
          <w:i w:val="false"/>
          <w:iCs w:val="false"/>
          <w:color w:val="0A0A0A"/>
          <w:sz w:val="20"/>
          <w:szCs w:val="20"/>
        </w:rPr>
        <w:t xml:space="preserve"/>
      </w:r>
    </w:p>
    <w:p>
      <w:pPr>
        <w:keepNext w:val="false"/>
        <w:pBdr>
          <w:bottom w:val="single" w:color="CCCCCC" w:sz="4" w:space="1"/>
        </w:pBdr>
        <w:spacing w:after="120" w:before="0" w:line="276"/>
        <w:jc w:val="left"/>
      </w:pPr>
      <w:r>
        <w:rPr>
          <w:rFonts w:ascii="Arial" w:cs="Arial" w:eastAsia="Arial" w:hAnsi="Arial"/>
          <w:b w:val="false"/>
          <w:bCs w:val="false"/>
          <w:i w:val="false"/>
          <w:iCs w:val="false"/>
          <w:color w:val="0A0A0A"/>
          <w:sz w:val="20"/>
          <w:szCs w:val="20"/>
        </w:rPr>
        <w:t xml:space="preserve"/>
      </w:r>
    </w:p>
    <w:p>
      <w:pPr>
        <w:keepNext w:val="false"/>
        <w:spacing w:after="60" w:before="0" w:line="276"/>
        <w:jc w:val="center"/>
      </w:pPr>
      <w:r>
        <w:rPr>
          <w:rFonts w:ascii="Arial" w:cs="Arial" w:eastAsia="Arial" w:hAnsi="Arial"/>
          <w:b/>
          <w:bCs/>
          <w:i w:val="false"/>
          <w:iCs w:val="false"/>
          <w:color w:val="0A0A0A"/>
          <w:sz w:val="18"/>
          <w:szCs w:val="18"/>
        </w:rPr>
        <w:t xml:space="preserve">NORTH AMERICAN PILATES INSTITUTE</w:t>
      </w:r>
    </w:p>
    <w:p>
      <w:pPr>
        <w:keepNext w:val="false"/>
        <w:spacing w:after="60" w:before="0" w:line="276"/>
        <w:jc w:val="center"/>
      </w:pPr>
      <w:r>
        <w:rPr>
          <w:rFonts w:ascii="Arial" w:cs="Arial" w:eastAsia="Arial" w:hAnsi="Arial"/>
          <w:b w:val="false"/>
          <w:bCs w:val="false"/>
          <w:i w:val="false"/>
          <w:iCs w:val="false"/>
          <w:color w:val="888888"/>
          <w:sz w:val="17"/>
          <w:szCs w:val="17"/>
        </w:rPr>
        <w:t xml:space="preserve">Mat Pilates Teacher Training Certification Standards  ·  Edition 2026</w:t>
      </w:r>
    </w:p>
    <w:p>
      <w:pPr>
        <w:keepNext w:val="false"/>
        <w:spacing w:after="80" w:before="0" w:line="276"/>
        <w:jc w:val="center"/>
      </w:pPr>
      <w:r>
        <w:rPr>
          <w:rFonts w:ascii="Arial" w:cs="Arial" w:eastAsia="Arial" w:hAnsi="Arial"/>
          <w:b w:val="false"/>
          <w:bCs w:val="false"/>
          <w:i w:val="false"/>
          <w:iCs w:val="false"/>
          <w:color w:val="888888"/>
          <w:sz w:val="16"/>
          <w:szCs w:val="16"/>
        </w:rPr>
        <w:t xml:space="preserve">northamericanpilates.com  ·  certification@northamericanpilates.com</w:t>
      </w:r>
    </w:p>
    <w:p>
      <w:pPr>
        <w:keepNext w:val="false"/>
        <w:spacing w:after="80" w:before="0" w:line="276"/>
        <w:jc w:val="center"/>
      </w:pPr>
      <w:r>
        <w:rPr>
          <w:rFonts w:ascii="Arial" w:cs="Arial" w:eastAsia="Arial" w:hAnsi="Arial"/>
          <w:b w:val="false"/>
          <w:bCs w:val="false"/>
          <w:i/>
          <w:iCs/>
          <w:color w:val="888888"/>
          <w:sz w:val="15"/>
          <w:szCs w:val="15"/>
        </w:rPr>
        <w:t xml:space="preserve">© 2026 North American Pilates Institute. All rights reserved. This document may be reproduced for candidate and institutional use with attribution. Standards subject to periodic review.</w:t>
      </w:r>
    </w:p>
    <w:p>
      <w:pPr>
        <w:keepNext w:val="false"/>
        <w:pBdr>
          <w:bottom w:val="single" w:color="CCCCCC" w:sz="4" w:space="1"/>
        </w:pBdr>
        <w:spacing w:after="36" w:before="0" w:line="276"/>
        <w:jc w:val="left"/>
      </w:pPr>
      <w:r>
        <w:rPr>
          <w:rFonts w:ascii="Arial" w:cs="Arial" w:eastAsia="Arial" w:hAnsi="Arial"/>
          <w:b w:val="false"/>
          <w:bCs w:val="false"/>
          <w:i w:val="false"/>
          <w:iCs w:val="false"/>
          <w:color w:val="0A0A0A"/>
          <w:sz w:val="20"/>
          <w:szCs w:val="20"/>
        </w:rPr>
        <w:t xml:space="preserve"/>
      </w:r>
    </w:p>
    <w:p>
      <w:pPr>
        <w:keepNext w:val="false"/>
        <w:pBdr>
          <w:bottom w:val="single" w:color="0A0A0A" w:sz="18" w:space="1"/>
        </w:pBdr>
        <w:spacing w:after="0" w:before="0" w:line="276"/>
        <w:jc w:val="left"/>
      </w:pPr>
      <w:r>
        <w:rPr>
          <w:rFonts w:ascii="Arial" w:cs="Arial" w:eastAsia="Arial" w:hAnsi="Arial"/>
          <w:b w:val="false"/>
          <w:bCs w:val="false"/>
          <w:i w:val="false"/>
          <w:iCs w:val="false"/>
          <w:color w:val="0A0A0A"/>
          <w:sz w:val="20"/>
          <w:szCs w:val="20"/>
        </w:rPr>
        <w:t xml:space="preserve"/>
      </w:r>
    </w:p>
    <w:sectPr>
      <w:headerReference w:type="default" r:id="rId7"/>
      <w:footerReference w:type="default" r:id="rId8"/>
      <w:type w:val="nextPage"/>
      <w:pgSz w:w="12240" w:h="15840" w:orient="portrait"/>
      <w:pgMar w:top="1152" w:right="1512" w:bottom="1152" w:left="1512"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1"/>
      </w:pBdr>
      <w:tabs>
        <w:tab w:val="right" w:pos="9026"/>
      </w:tabs>
      <w:spacing w:after="0" w:before="80"/>
    </w:pPr>
    <w:r>
      <w:rPr>
        <w:rFonts w:ascii="Arial" w:cs="Arial" w:eastAsia="Arial" w:hAnsi="Arial"/>
        <w:b w:val="false"/>
        <w:bCs w:val="false"/>
        <w:i w:val="false"/>
        <w:iCs w:val="false"/>
        <w:color w:val="888888"/>
        <w:sz w:val="15"/>
        <w:szCs w:val="15"/>
      </w:rPr>
      <w:t xml:space="preserve">Confidential  ·  For Distribution to Candidates, Studio Partners &amp; Accreditation Bodies</w:t>
    </w:r>
    <w:r>
      <w:t xml:space="preserve">	</w:t>
    </w:r>
    <w:r>
      <w:rPr>
        <w:rFonts w:ascii="Arial" w:cs="Arial" w:eastAsia="Arial" w:hAnsi="Arial"/>
        <w:color w:val="888888"/>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top w:val="none" w:color="FFFFFF" w:sz="0"/>
        <w:bottom w:val="single" w:color="CCCCCC" w:sz="4" w:space="1"/>
      </w:pBdr>
      <w:tabs>
        <w:tab w:val="right" w:pos="9026"/>
      </w:tabs>
      <w:spacing w:after="80" w:before="0"/>
    </w:pPr>
    <w:r>
      <w:rPr>
        <w:rFonts w:ascii="Arial" w:cs="Arial" w:eastAsia="Arial" w:hAnsi="Arial"/>
        <w:b w:val="false"/>
        <w:bCs w:val="false"/>
        <w:i w:val="false"/>
        <w:iCs w:val="false"/>
        <w:color w:val="888888"/>
        <w:sz w:val="15"/>
        <w:szCs w:val="15"/>
      </w:rPr>
      <w:t xml:space="preserve">NORTH AMERICAN PILATES INSTITUTE  ·  MAT PILATES TEACHER TRAINING STANDARDS 2026</w:t>
    </w:r>
    <w:r>
      <w:t xml:space="preserve">	</w:t>
    </w:r>
    <w:r>
      <w:rPr>
        <w:rFonts w:ascii="Arial" w:cs="Arial" w:eastAsia="Arial" w:hAnsi="Arial"/>
        <w:b w:val="false"/>
        <w:bCs w:val="false"/>
        <w:i w:val="false"/>
        <w:iCs w:val="false"/>
        <w:color w:val="888888"/>
        <w:sz w:val="15"/>
        <w:szCs w:val="15"/>
      </w:rPr>
      <w:t xml:space="preserve">NAPI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80"/>
      </w:pPr>
      <w:rPr>
        <w:rFonts w:ascii="Arial" w:cs="Arial" w:eastAsia="Arial" w:hAnsi="Arial"/>
        <w:sz w:val="19"/>
        <w:szCs w:val="19"/>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A0A0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2026-06-06T11:55:16.879Z</dcterms:created>
  <dcterms:modified xsi:type="dcterms:W3CDTF">2026-06-06T11:55:16.891Z</dcterms:modified>
</cp:coreProperties>
</file>

<file path=docProps/custom.xml><?xml version="1.0" encoding="utf-8"?>
<Properties xmlns="http://schemas.openxmlformats.org/officeDocument/2006/custom-properties" xmlns:vt="http://schemas.openxmlformats.org/officeDocument/2006/docPropsVTypes"/>
</file>